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6F5FD0" w:rsidRPr="00B33EE6" w:rsidRDefault="00907E7E">
      <w:pPr>
        <w:jc w:val="center"/>
        <w:rPr>
          <w:sz w:val="28"/>
          <w:szCs w:val="28"/>
          <w:lang w:val="en-GB"/>
        </w:rPr>
      </w:pPr>
      <w:r>
        <w:rPr>
          <w:rStyle w:val="Strong"/>
          <w:sz w:val="28"/>
          <w:szCs w:val="28"/>
          <w:lang w:val="en-GB"/>
        </w:rPr>
        <w:t>Organization of Events</w:t>
      </w:r>
      <w:r w:rsidR="006F5FD0" w:rsidRPr="00B33EE6">
        <w:rPr>
          <w:rStyle w:val="Strong"/>
          <w:sz w:val="28"/>
          <w:szCs w:val="28"/>
          <w:lang w:val="en-GB"/>
        </w:rPr>
        <w:br/>
      </w:r>
      <w:proofErr w:type="spellStart"/>
      <w:r>
        <w:rPr>
          <w:rStyle w:val="Strong"/>
          <w:sz w:val="28"/>
          <w:szCs w:val="28"/>
          <w:lang w:val="en-GB"/>
        </w:rPr>
        <w:t>Knjaževac</w:t>
      </w:r>
      <w:proofErr w:type="spellEnd"/>
      <w:r>
        <w:rPr>
          <w:rStyle w:val="Strong"/>
          <w:sz w:val="28"/>
          <w:szCs w:val="28"/>
          <w:lang w:val="en-GB"/>
        </w:rPr>
        <w:t>, Republic of Serbia</w:t>
      </w:r>
    </w:p>
    <w:p w:rsidR="00571687" w:rsidRPr="00B33EE6" w:rsidRDefault="00571687" w:rsidP="00584BF4">
      <w:pPr>
        <w:ind w:left="709" w:hanging="349"/>
        <w:outlineLvl w:val="0"/>
        <w:rPr>
          <w:rStyle w:val="Strong"/>
          <w:sz w:val="22"/>
          <w:szCs w:val="22"/>
          <w:lang w:val="en-GB"/>
        </w:rPr>
      </w:pP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A45BCF">
      <w:pPr>
        <w:pStyle w:val="Blockquote"/>
        <w:rPr>
          <w:i/>
          <w:sz w:val="22"/>
          <w:szCs w:val="22"/>
          <w:lang w:val="en-GB"/>
        </w:rPr>
      </w:pPr>
      <w:r>
        <w:rPr>
          <w:rStyle w:val="Emphasis"/>
          <w:i w:val="0"/>
          <w:sz w:val="22"/>
          <w:szCs w:val="22"/>
          <w:lang w:val="en-GB"/>
        </w:rPr>
        <w:t>CB007.2.12.056</w:t>
      </w:r>
      <w:r w:rsidR="000A5769">
        <w:rPr>
          <w:rStyle w:val="Emphasis"/>
          <w:i w:val="0"/>
          <w:sz w:val="22"/>
          <w:szCs w:val="22"/>
          <w:lang w:val="en-GB"/>
        </w:rPr>
        <w:t>-A2</w:t>
      </w:r>
      <w:bookmarkStart w:id="0" w:name="_GoBack"/>
      <w:bookmarkEnd w:id="0"/>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B33EE6" w:rsidRDefault="00B932B3" w:rsidP="00B932B3">
      <w:pPr>
        <w:pStyle w:val="Blockquote"/>
        <w:ind w:left="0" w:firstLine="360"/>
        <w:jc w:val="both"/>
        <w:rPr>
          <w:sz w:val="22"/>
          <w:szCs w:val="22"/>
          <w:lang w:val="en-GB"/>
        </w:rPr>
      </w:pPr>
      <w:r>
        <w:rPr>
          <w:sz w:val="22"/>
          <w:szCs w:val="22"/>
          <w:lang w:val="en-GB"/>
        </w:rPr>
        <w:t>Simplified</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07E7E" w:rsidRPr="004E30B6" w:rsidRDefault="00907E7E" w:rsidP="00907E7E">
      <w:pPr>
        <w:pStyle w:val="PRAGHeading2"/>
        <w:numPr>
          <w:ilvl w:val="0"/>
          <w:numId w:val="0"/>
        </w:numPr>
        <w:tabs>
          <w:tab w:val="left" w:pos="720"/>
        </w:tabs>
        <w:ind w:left="357" w:right="357"/>
        <w:rPr>
          <w:snapToGrid/>
          <w:sz w:val="22"/>
          <w:szCs w:val="22"/>
          <w:lang w:val="en-GB"/>
        </w:rPr>
      </w:pPr>
      <w:proofErr w:type="spellStart"/>
      <w:r w:rsidRPr="004E30B6">
        <w:rPr>
          <w:sz w:val="22"/>
          <w:szCs w:val="22"/>
          <w:lang w:val="en-GB"/>
        </w:rPr>
        <w:t>Interreg</w:t>
      </w:r>
      <w:proofErr w:type="spellEnd"/>
      <w:r w:rsidRPr="004E30B6">
        <w:rPr>
          <w:sz w:val="22"/>
          <w:szCs w:val="22"/>
          <w:lang w:val="en-GB"/>
        </w:rPr>
        <w:t xml:space="preserve"> – IPA CBC Bulgaria – Serbia Programme</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rsidR="00A95439" w:rsidRPr="00A95439" w:rsidRDefault="00A95439" w:rsidP="00A95439">
      <w:pPr>
        <w:ind w:left="709" w:hanging="349"/>
        <w:outlineLvl w:val="0"/>
        <w:rPr>
          <w:b/>
          <w:sz w:val="22"/>
          <w:szCs w:val="22"/>
        </w:rPr>
      </w:pPr>
      <w:r w:rsidRPr="00A95439">
        <w:rPr>
          <w:sz w:val="22"/>
          <w:szCs w:val="22"/>
        </w:rPr>
        <w:t xml:space="preserve">The project is co-financed by the European Union, in accordance with the rules of INTERREG   IPA CBC Bulgaria –Serbia </w:t>
      </w:r>
      <w:proofErr w:type="spellStart"/>
      <w:r w:rsidRPr="00A95439">
        <w:rPr>
          <w:sz w:val="22"/>
          <w:szCs w:val="22"/>
        </w:rPr>
        <w:t>Programme</w:t>
      </w:r>
      <w:proofErr w:type="spellEnd"/>
      <w:r w:rsidRPr="00A95439">
        <w:rPr>
          <w:sz w:val="22"/>
          <w:szCs w:val="22"/>
        </w:rPr>
        <w:t xml:space="preserve"> </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1C75E4" w:rsidP="00B33EE6">
      <w:pPr>
        <w:ind w:left="357" w:right="357"/>
        <w:jc w:val="both"/>
        <w:rPr>
          <w:rStyle w:val="Emphasis"/>
          <w:i w:val="0"/>
          <w:sz w:val="22"/>
          <w:szCs w:val="22"/>
          <w:lang w:val="en-GB"/>
        </w:rPr>
      </w:pPr>
      <w:r>
        <w:rPr>
          <w:rStyle w:val="Emphasis"/>
          <w:i w:val="0"/>
          <w:sz w:val="22"/>
          <w:szCs w:val="22"/>
          <w:lang w:val="en-GB"/>
        </w:rPr>
        <w:t>Association Manifesto</w:t>
      </w:r>
    </w:p>
    <w:p w:rsidR="006F5FD0" w:rsidRPr="00B33EE6" w:rsidRDefault="006B5ACA">
      <w:pPr>
        <w:rPr>
          <w:sz w:val="22"/>
          <w:szCs w:val="22"/>
          <w:lang w:val="en-GB"/>
        </w:rPr>
      </w:pPr>
      <w:r>
        <w:rPr>
          <w:noProof/>
          <w:snapToGrid/>
          <w:sz w:val="22"/>
          <w:szCs w:val="22"/>
          <w:lang w:val="sr-Latn-RS" w:eastAsia="sr-Latn-RS"/>
        </w:rPr>
        <mc:AlternateContent>
          <mc:Choice Requires="wps">
            <w:drawing>
              <wp:anchor distT="0" distB="0" distL="114300" distR="114300" simplePos="0" relativeHeight="251655680"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9261E6"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340436" w:rsidRDefault="00340436" w:rsidP="006F0C91">
      <w:pPr>
        <w:ind w:left="709"/>
        <w:outlineLvl w:val="0"/>
        <w:rPr>
          <w:rStyle w:val="Strong"/>
          <w:sz w:val="22"/>
          <w:szCs w:val="22"/>
          <w:lang w:val="en-GB"/>
        </w:rPr>
      </w:pPr>
      <w:r w:rsidRPr="00AC4E62">
        <w:rPr>
          <w:rStyle w:val="Emphasis"/>
          <w:i w:val="0"/>
          <w:sz w:val="22"/>
          <w:szCs w:val="22"/>
          <w:lang w:val="en-GB"/>
        </w:rPr>
        <w:t>Global price</w:t>
      </w:r>
      <w:r w:rsidRPr="00B33EE6">
        <w:rPr>
          <w:rStyle w:val="Strong"/>
          <w:sz w:val="22"/>
          <w:szCs w:val="22"/>
          <w:lang w:val="en-GB"/>
        </w:rPr>
        <w:t xml:space="preserve"> </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EA5F3E" w:rsidRDefault="00EC6C3C" w:rsidP="00EC6C3C">
      <w:pPr>
        <w:ind w:left="709" w:hanging="349"/>
        <w:outlineLvl w:val="0"/>
        <w:rPr>
          <w:rStyle w:val="Emphasis"/>
          <w:i w:val="0"/>
          <w:sz w:val="22"/>
          <w:szCs w:val="22"/>
          <w:lang w:val="en-GB"/>
        </w:rPr>
      </w:pPr>
      <w:r>
        <w:rPr>
          <w:rStyle w:val="Emphasis"/>
          <w:i w:val="0"/>
          <w:sz w:val="22"/>
          <w:szCs w:val="22"/>
          <w:lang w:val="en-GB"/>
        </w:rPr>
        <w:t xml:space="preserve">      </w:t>
      </w:r>
      <w:r w:rsidRPr="00807945">
        <w:rPr>
          <w:rStyle w:val="Emphasis"/>
          <w:i w:val="0"/>
          <w:sz w:val="22"/>
          <w:szCs w:val="22"/>
          <w:lang w:val="en-GB"/>
        </w:rPr>
        <w:t xml:space="preserve">Rent of hall for </w:t>
      </w:r>
      <w:r w:rsidR="00EA5F3E">
        <w:rPr>
          <w:rStyle w:val="Emphasis"/>
          <w:i w:val="0"/>
          <w:sz w:val="22"/>
          <w:szCs w:val="22"/>
          <w:lang w:val="en-GB"/>
        </w:rPr>
        <w:t>Opening conference in RS.</w:t>
      </w:r>
    </w:p>
    <w:p w:rsidR="00EA5F3E" w:rsidRDefault="00A95439" w:rsidP="00EA5F3E">
      <w:pPr>
        <w:ind w:left="709"/>
        <w:outlineLvl w:val="0"/>
        <w:rPr>
          <w:rStyle w:val="Emphasis"/>
          <w:i w:val="0"/>
          <w:sz w:val="22"/>
          <w:szCs w:val="22"/>
          <w:lang w:val="en-GB"/>
        </w:rPr>
      </w:pPr>
      <w:r>
        <w:rPr>
          <w:rStyle w:val="Emphasis"/>
          <w:i w:val="0"/>
          <w:sz w:val="22"/>
          <w:szCs w:val="22"/>
          <w:lang w:val="en-GB"/>
        </w:rPr>
        <w:t>Rent of h</w:t>
      </w:r>
      <w:r w:rsidR="00EA5F3E">
        <w:rPr>
          <w:rStyle w:val="Emphasis"/>
          <w:i w:val="0"/>
          <w:sz w:val="22"/>
          <w:szCs w:val="22"/>
          <w:lang w:val="en-GB"/>
        </w:rPr>
        <w:t>all for Workshops in RS.</w:t>
      </w:r>
      <w:r w:rsidR="00EC6C3C" w:rsidRPr="00807945">
        <w:rPr>
          <w:rStyle w:val="Emphasis"/>
          <w:i w:val="0"/>
          <w:sz w:val="22"/>
          <w:szCs w:val="22"/>
          <w:lang w:val="en-GB"/>
        </w:rPr>
        <w:br/>
      </w:r>
    </w:p>
    <w:p w:rsidR="00EC6C3C" w:rsidRDefault="00EC6C3C" w:rsidP="00EA5F3E">
      <w:pPr>
        <w:ind w:left="709"/>
        <w:outlineLvl w:val="0"/>
        <w:rPr>
          <w:rStyle w:val="Emphasis"/>
          <w:i w:val="0"/>
          <w:sz w:val="22"/>
          <w:szCs w:val="22"/>
          <w:lang w:val="en-GB"/>
        </w:rPr>
      </w:pPr>
      <w:r w:rsidRPr="00807945">
        <w:rPr>
          <w:rStyle w:val="Emphasis"/>
          <w:i w:val="0"/>
          <w:sz w:val="22"/>
          <w:szCs w:val="22"/>
          <w:lang w:val="en-GB"/>
        </w:rPr>
        <w:t xml:space="preserve">Rent of </w:t>
      </w:r>
      <w:r w:rsidR="00EA5F3E">
        <w:rPr>
          <w:rStyle w:val="Emphasis"/>
          <w:i w:val="0"/>
          <w:sz w:val="22"/>
          <w:szCs w:val="22"/>
          <w:lang w:val="en-GB"/>
        </w:rPr>
        <w:t>a mini bus x 1 Opening Conference in Vidin x 10 people from RS regions;</w:t>
      </w:r>
    </w:p>
    <w:p w:rsidR="00EA5F3E" w:rsidRDefault="00EA5F3E" w:rsidP="00EA5F3E">
      <w:pPr>
        <w:ind w:left="709"/>
        <w:outlineLvl w:val="0"/>
        <w:rPr>
          <w:rStyle w:val="Emphasis"/>
          <w:i w:val="0"/>
          <w:sz w:val="22"/>
          <w:szCs w:val="22"/>
          <w:lang w:val="en-GB"/>
        </w:rPr>
      </w:pPr>
      <w:r w:rsidRPr="00807945">
        <w:rPr>
          <w:rStyle w:val="Emphasis"/>
          <w:i w:val="0"/>
          <w:sz w:val="22"/>
          <w:szCs w:val="22"/>
          <w:lang w:val="en-GB"/>
        </w:rPr>
        <w:t xml:space="preserve">Rent of </w:t>
      </w:r>
      <w:r>
        <w:rPr>
          <w:rStyle w:val="Emphasis"/>
          <w:i w:val="0"/>
          <w:sz w:val="22"/>
          <w:szCs w:val="22"/>
          <w:lang w:val="en-GB"/>
        </w:rPr>
        <w:t>a mini bus x 1 Workshop in Vidin x 10 people from RS regions;</w:t>
      </w:r>
    </w:p>
    <w:p w:rsidR="00EA5F3E" w:rsidRDefault="00EA5F3E" w:rsidP="0081406F">
      <w:pPr>
        <w:ind w:left="709"/>
        <w:outlineLvl w:val="0"/>
        <w:rPr>
          <w:rStyle w:val="Emphasis"/>
          <w:i w:val="0"/>
          <w:sz w:val="22"/>
          <w:szCs w:val="22"/>
          <w:lang w:val="en-GB"/>
        </w:rPr>
      </w:pPr>
      <w:r w:rsidRPr="00807945">
        <w:rPr>
          <w:rStyle w:val="Emphasis"/>
          <w:i w:val="0"/>
          <w:sz w:val="22"/>
          <w:szCs w:val="22"/>
          <w:lang w:val="en-GB"/>
        </w:rPr>
        <w:t xml:space="preserve">Rent of </w:t>
      </w:r>
      <w:r>
        <w:rPr>
          <w:rStyle w:val="Emphasis"/>
          <w:i w:val="0"/>
          <w:sz w:val="22"/>
          <w:szCs w:val="22"/>
          <w:lang w:val="en-GB"/>
        </w:rPr>
        <w:t xml:space="preserve">a mini bus x 1 Final Conference in </w:t>
      </w:r>
      <w:proofErr w:type="spellStart"/>
      <w:r>
        <w:rPr>
          <w:rStyle w:val="Emphasis"/>
          <w:i w:val="0"/>
          <w:sz w:val="22"/>
          <w:szCs w:val="22"/>
          <w:lang w:val="en-GB"/>
        </w:rPr>
        <w:t>Belogradchik</w:t>
      </w:r>
      <w:proofErr w:type="spellEnd"/>
      <w:r>
        <w:rPr>
          <w:rStyle w:val="Emphasis"/>
          <w:i w:val="0"/>
          <w:sz w:val="22"/>
          <w:szCs w:val="22"/>
          <w:lang w:val="en-GB"/>
        </w:rPr>
        <w:t xml:space="preserve"> x 15 people from BG regions;</w:t>
      </w:r>
    </w:p>
    <w:p w:rsidR="0081406F" w:rsidRDefault="0081406F" w:rsidP="0081406F">
      <w:pPr>
        <w:ind w:left="709"/>
        <w:outlineLvl w:val="0"/>
        <w:rPr>
          <w:rStyle w:val="Emphasis"/>
          <w:i w:val="0"/>
          <w:sz w:val="22"/>
          <w:szCs w:val="22"/>
          <w:lang w:val="en-GB"/>
        </w:rPr>
      </w:pPr>
    </w:p>
    <w:p w:rsidR="00EC6C3C" w:rsidRDefault="00EC6C3C" w:rsidP="0081406F">
      <w:pPr>
        <w:ind w:left="709"/>
        <w:outlineLvl w:val="0"/>
        <w:rPr>
          <w:rStyle w:val="Emphasis"/>
          <w:i w:val="0"/>
          <w:sz w:val="22"/>
          <w:szCs w:val="22"/>
          <w:lang w:val="en-GB"/>
        </w:rPr>
      </w:pPr>
      <w:r w:rsidRPr="00807945">
        <w:rPr>
          <w:rStyle w:val="Emphasis"/>
          <w:i w:val="0"/>
          <w:sz w:val="22"/>
          <w:szCs w:val="22"/>
          <w:lang w:val="en-GB"/>
        </w:rPr>
        <w:t xml:space="preserve">Coffee breaks, refreshments, lunches and dinners for participants </w:t>
      </w:r>
      <w:r>
        <w:rPr>
          <w:rStyle w:val="Emphasis"/>
          <w:i w:val="0"/>
          <w:sz w:val="22"/>
          <w:szCs w:val="22"/>
          <w:lang w:val="en-GB"/>
        </w:rPr>
        <w:t>for first day</w:t>
      </w:r>
      <w:r w:rsidR="0081406F">
        <w:rPr>
          <w:rStyle w:val="Emphasis"/>
          <w:i w:val="0"/>
          <w:sz w:val="22"/>
          <w:szCs w:val="22"/>
          <w:lang w:val="en-GB"/>
        </w:rPr>
        <w:t xml:space="preserve"> of workshop in </w:t>
      </w:r>
      <w:proofErr w:type="spellStart"/>
      <w:r w:rsidR="0081406F">
        <w:rPr>
          <w:rStyle w:val="Emphasis"/>
          <w:i w:val="0"/>
          <w:sz w:val="22"/>
          <w:szCs w:val="22"/>
          <w:lang w:val="en-GB"/>
        </w:rPr>
        <w:t>Knjazevac</w:t>
      </w:r>
      <w:proofErr w:type="spellEnd"/>
      <w:r w:rsidR="0081406F">
        <w:rPr>
          <w:rStyle w:val="Emphasis"/>
          <w:i w:val="0"/>
          <w:sz w:val="22"/>
          <w:szCs w:val="22"/>
          <w:lang w:val="en-GB"/>
        </w:rPr>
        <w:t xml:space="preserve"> x 20 people (10 from RS, 10 form BG);</w:t>
      </w:r>
      <w:r w:rsidRPr="00807945">
        <w:rPr>
          <w:rStyle w:val="Emphasis"/>
          <w:i w:val="0"/>
          <w:sz w:val="22"/>
          <w:szCs w:val="22"/>
          <w:lang w:val="en-GB"/>
        </w:rPr>
        <w:br/>
      </w:r>
      <w:r w:rsidR="0081406F" w:rsidRPr="00807945">
        <w:rPr>
          <w:rStyle w:val="Emphasis"/>
          <w:i w:val="0"/>
          <w:sz w:val="22"/>
          <w:szCs w:val="22"/>
          <w:lang w:val="en-GB"/>
        </w:rPr>
        <w:t xml:space="preserve">Coffee breaks, refreshments, lunches and dinners for participants </w:t>
      </w:r>
      <w:r w:rsidR="0081406F">
        <w:rPr>
          <w:rStyle w:val="Emphasis"/>
          <w:i w:val="0"/>
          <w:sz w:val="22"/>
          <w:szCs w:val="22"/>
          <w:lang w:val="en-GB"/>
        </w:rPr>
        <w:t xml:space="preserve">for second day of workshop in </w:t>
      </w:r>
      <w:proofErr w:type="spellStart"/>
      <w:r w:rsidR="0081406F">
        <w:rPr>
          <w:rStyle w:val="Emphasis"/>
          <w:i w:val="0"/>
          <w:sz w:val="22"/>
          <w:szCs w:val="22"/>
          <w:lang w:val="en-GB"/>
        </w:rPr>
        <w:t>Knjazevac</w:t>
      </w:r>
      <w:proofErr w:type="spellEnd"/>
      <w:r w:rsidR="0081406F">
        <w:rPr>
          <w:rStyle w:val="Emphasis"/>
          <w:i w:val="0"/>
          <w:sz w:val="22"/>
          <w:szCs w:val="22"/>
          <w:lang w:val="en-GB"/>
        </w:rPr>
        <w:t xml:space="preserve"> x 20 people (10 from RS, 10 form BG);</w:t>
      </w:r>
      <w:r w:rsidRPr="00807945">
        <w:rPr>
          <w:rStyle w:val="Emphasis"/>
          <w:i w:val="0"/>
          <w:sz w:val="22"/>
          <w:szCs w:val="22"/>
          <w:lang w:val="en-GB"/>
        </w:rPr>
        <w:br/>
      </w:r>
    </w:p>
    <w:p w:rsidR="00322EF4" w:rsidRDefault="00EC6C3C" w:rsidP="00237D54">
      <w:pPr>
        <w:ind w:left="709"/>
        <w:outlineLvl w:val="0"/>
        <w:rPr>
          <w:rStyle w:val="Emphasis"/>
          <w:i w:val="0"/>
          <w:sz w:val="22"/>
          <w:szCs w:val="22"/>
          <w:lang w:val="en-GB"/>
        </w:rPr>
      </w:pPr>
      <w:r w:rsidRPr="00807945">
        <w:rPr>
          <w:rStyle w:val="Emphasis"/>
          <w:i w:val="0"/>
          <w:sz w:val="22"/>
          <w:szCs w:val="22"/>
          <w:lang w:val="en-GB"/>
        </w:rPr>
        <w:t xml:space="preserve">Accommodation for </w:t>
      </w:r>
      <w:r w:rsidR="00B337B3">
        <w:rPr>
          <w:rStyle w:val="Emphasis"/>
          <w:i w:val="0"/>
          <w:sz w:val="22"/>
          <w:szCs w:val="22"/>
          <w:lang w:val="en-GB"/>
        </w:rPr>
        <w:t>20</w:t>
      </w:r>
      <w:r w:rsidRPr="00807945">
        <w:rPr>
          <w:rStyle w:val="Emphasis"/>
          <w:i w:val="0"/>
          <w:sz w:val="22"/>
          <w:szCs w:val="22"/>
          <w:lang w:val="en-GB"/>
        </w:rPr>
        <w:t xml:space="preserve"> participants in </w:t>
      </w:r>
      <w:r w:rsidR="00B337B3">
        <w:rPr>
          <w:rStyle w:val="Emphasis"/>
          <w:i w:val="0"/>
          <w:sz w:val="22"/>
          <w:szCs w:val="22"/>
          <w:lang w:val="en-GB"/>
        </w:rPr>
        <w:t xml:space="preserve">Workshop in </w:t>
      </w:r>
      <w:proofErr w:type="spellStart"/>
      <w:r w:rsidR="00B337B3">
        <w:rPr>
          <w:rStyle w:val="Emphasis"/>
          <w:i w:val="0"/>
          <w:sz w:val="22"/>
          <w:szCs w:val="22"/>
          <w:lang w:val="en-GB"/>
        </w:rPr>
        <w:t>Knjazevac</w:t>
      </w:r>
      <w:proofErr w:type="spellEnd"/>
      <w:r w:rsidR="00B337B3">
        <w:rPr>
          <w:rStyle w:val="Emphasis"/>
          <w:i w:val="0"/>
          <w:sz w:val="22"/>
          <w:szCs w:val="22"/>
          <w:lang w:val="en-GB"/>
        </w:rPr>
        <w:t xml:space="preserve"> (10 from RS, 10 from BG) * 1 night.</w:t>
      </w:r>
      <w:r w:rsidRPr="00807945">
        <w:rPr>
          <w:rStyle w:val="Emphasis"/>
          <w:i w:val="0"/>
          <w:sz w:val="22"/>
          <w:szCs w:val="22"/>
          <w:lang w:val="en-GB"/>
        </w:rPr>
        <w:t xml:space="preserve"> </w:t>
      </w:r>
      <w:r w:rsidRPr="00807945">
        <w:rPr>
          <w:rStyle w:val="Emphasis"/>
          <w:i w:val="0"/>
          <w:sz w:val="22"/>
          <w:szCs w:val="22"/>
          <w:lang w:val="en-GB"/>
        </w:rPr>
        <w:br/>
      </w:r>
    </w:p>
    <w:p w:rsidR="00EC6C3C" w:rsidRPr="00EE62E3" w:rsidRDefault="00237D54" w:rsidP="00237D54">
      <w:pPr>
        <w:ind w:left="709"/>
        <w:outlineLvl w:val="0"/>
        <w:rPr>
          <w:color w:val="000000"/>
          <w:sz w:val="22"/>
          <w:szCs w:val="22"/>
        </w:rPr>
      </w:pPr>
      <w:r>
        <w:rPr>
          <w:rStyle w:val="Emphasis"/>
          <w:i w:val="0"/>
          <w:sz w:val="22"/>
          <w:szCs w:val="22"/>
          <w:lang w:val="en-GB"/>
        </w:rPr>
        <w:t>Engage moderators of Opening Conference 1 day, per Workshops 2 days</w:t>
      </w:r>
    </w:p>
    <w:p w:rsidR="00322EF4" w:rsidRDefault="00322EF4" w:rsidP="00584BF4">
      <w:pPr>
        <w:ind w:left="709" w:hanging="349"/>
        <w:outlineLvl w:val="0"/>
        <w:rPr>
          <w:rStyle w:val="Strong"/>
          <w:sz w:val="22"/>
          <w:szCs w:val="22"/>
          <w:lang w:val="en-GB"/>
        </w:rPr>
      </w:pP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DA0ABA" w:rsidRPr="00B33EE6" w:rsidRDefault="00D229EA" w:rsidP="00584BF4">
      <w:pPr>
        <w:ind w:left="709" w:hanging="349"/>
        <w:outlineLvl w:val="0"/>
        <w:rPr>
          <w:rStyle w:val="Emphasis"/>
          <w:i w:val="0"/>
          <w:sz w:val="22"/>
          <w:szCs w:val="22"/>
          <w:lang w:val="en-GB"/>
        </w:rPr>
      </w:pPr>
      <w:r>
        <w:rPr>
          <w:rStyle w:val="Emphasis"/>
          <w:i w:val="0"/>
          <w:sz w:val="22"/>
          <w:szCs w:val="22"/>
          <w:lang w:val="en-GB"/>
        </w:rPr>
        <w:t>Not applicable.</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rsidR="00971962" w:rsidRPr="004815A4" w:rsidRDefault="004815A4" w:rsidP="00971962">
      <w:pPr>
        <w:pStyle w:val="Blockquote"/>
        <w:jc w:val="both"/>
        <w:rPr>
          <w:sz w:val="22"/>
          <w:szCs w:val="22"/>
          <w:lang w:val="en-GB"/>
        </w:rPr>
      </w:pPr>
      <w:r w:rsidRPr="004815A4">
        <w:rPr>
          <w:sz w:val="22"/>
          <w:szCs w:val="22"/>
          <w:lang w:val="en-GB"/>
        </w:rPr>
        <w:t>3.626,00 EUR (VAT excluded)</w:t>
      </w:r>
    </w:p>
    <w:p w:rsidR="006F5FD0" w:rsidRPr="00B33EE6" w:rsidRDefault="006B5ACA">
      <w:pPr>
        <w:pStyle w:val="Blockquote"/>
        <w:jc w:val="both"/>
        <w:rPr>
          <w:sz w:val="22"/>
          <w:szCs w:val="22"/>
          <w:lang w:val="en-GB"/>
        </w:rPr>
      </w:pPr>
      <w:r>
        <w:rPr>
          <w:noProof/>
          <w:snapToGrid/>
          <w:sz w:val="22"/>
          <w:szCs w:val="22"/>
          <w:lang w:val="sr-Latn-RS" w:eastAsia="sr-Latn-RS"/>
        </w:rPr>
        <w:lastRenderedPageBreak/>
        <mc:AlternateContent>
          <mc:Choice Requires="wps">
            <w:drawing>
              <wp:anchor distT="0" distB="0" distL="114300" distR="114300" simplePos="0" relativeHeight="251656704" behindDoc="0" locked="0" layoutInCell="0" allowOverlap="1">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17F8D2"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rsidR="00864354" w:rsidRDefault="00864354" w:rsidP="00D517A4">
      <w:pPr>
        <w:jc w:val="center"/>
        <w:rPr>
          <w:rStyle w:val="Strong"/>
          <w:sz w:val="28"/>
          <w:szCs w:val="28"/>
          <w:lang w:val="en-GB"/>
        </w:rPr>
      </w:pP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rsidR="00864354" w:rsidRPr="00856A26" w:rsidRDefault="00864354" w:rsidP="00864354">
      <w:pPr>
        <w:widowControl/>
        <w:spacing w:before="0" w:after="0"/>
        <w:ind w:left="426"/>
        <w:jc w:val="both"/>
        <w:rPr>
          <w:sz w:val="22"/>
          <w:szCs w:val="22"/>
          <w:lang w:val="en-GB"/>
        </w:rPr>
      </w:pPr>
      <w:r w:rsidRPr="00856A26">
        <w:rPr>
          <w:sz w:val="22"/>
          <w:szCs w:val="22"/>
          <w:lang w:val="en-GB"/>
        </w:rPr>
        <w:t xml:space="preserve">Participation is open to all </w:t>
      </w:r>
      <w:r w:rsidRPr="00856A26">
        <w:rPr>
          <w:rFonts w:eastAsia="Calibri" w:cs="Arial"/>
          <w:sz w:val="22"/>
          <w:szCs w:val="22"/>
          <w:lang w:val="en-GB"/>
        </w:rPr>
        <w:t xml:space="preserve">natural persons who are nationals of and </w:t>
      </w:r>
      <w:r w:rsidRPr="00856A26">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856A26">
        <w:rPr>
          <w:rFonts w:eastAsia="Calibri" w:cs="Arial"/>
          <w:bCs/>
          <w:sz w:val="22"/>
          <w:szCs w:val="22"/>
          <w:lang w:val="en-GB"/>
        </w:rPr>
        <w:t xml:space="preserve">the Regulation </w:t>
      </w:r>
      <w:r w:rsidRPr="00856A26">
        <w:rPr>
          <w:sz w:val="22"/>
          <w:szCs w:val="22"/>
          <w:lang w:val="en-GB"/>
        </w:rPr>
        <w:t>(EU) No </w:t>
      </w:r>
      <w:r w:rsidRPr="00856A26">
        <w:rPr>
          <w:rFonts w:eastAsia="MS Mincho"/>
          <w:noProof/>
          <w:sz w:val="22"/>
          <w:szCs w:val="22"/>
          <w:lang w:val="en-GB" w:eastAsia="ja-JP"/>
        </w:rPr>
        <w:t xml:space="preserve">236/2014 </w:t>
      </w:r>
      <w:r w:rsidRPr="00856A26">
        <w:rPr>
          <w:rFonts w:eastAsia="Calibri" w:cs="Arial"/>
          <w:bCs/>
          <w:sz w:val="22"/>
          <w:szCs w:val="22"/>
          <w:lang w:val="en-GB"/>
        </w:rPr>
        <w:t xml:space="preserve">establishing common rules and procedures for the implementation of the Union's instruments for external action (CIR) </w:t>
      </w:r>
      <w:r w:rsidRPr="00856A26">
        <w:rPr>
          <w:sz w:val="22"/>
          <w:szCs w:val="22"/>
          <w:lang w:val="en-GB"/>
        </w:rPr>
        <w:t>for the applicable instrument under which the contract is financed (see also heading 23 below)</w:t>
      </w:r>
      <w:r w:rsidRPr="00856A26">
        <w:rPr>
          <w:rFonts w:eastAsia="Calibri" w:cs="Arial"/>
          <w:sz w:val="22"/>
          <w:szCs w:val="22"/>
          <w:lang w:val="en-GB"/>
        </w:rPr>
        <w:t xml:space="preserve">. </w:t>
      </w:r>
      <w:r w:rsidRPr="00856A26">
        <w:rPr>
          <w:sz w:val="22"/>
          <w:szCs w:val="22"/>
          <w:lang w:val="en-GB"/>
        </w:rPr>
        <w:t>Participation is also open to international organisations.</w:t>
      </w:r>
      <w:bookmarkStart w:id="1" w:name="_DV_M201"/>
      <w:bookmarkEnd w:id="1"/>
    </w:p>
    <w:p w:rsidR="00D93082" w:rsidRPr="00B33EE6" w:rsidRDefault="00D93082" w:rsidP="007573F3">
      <w:pPr>
        <w:jc w:val="both"/>
        <w:outlineLvl w:val="0"/>
        <w:rPr>
          <w:szCs w:val="22"/>
          <w:lang w:val="en-GB"/>
        </w:rPr>
      </w:pP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w:t>
      </w:r>
      <w:proofErr w:type="gramStart"/>
      <w:r w:rsidRPr="00B33EE6">
        <w:rPr>
          <w:sz w:val="22"/>
          <w:szCs w:val="22"/>
          <w:lang w:val="en-GB"/>
        </w:rPr>
        <w:t>of</w:t>
      </w:r>
      <w:proofErr w:type="gramEnd"/>
      <w:r w:rsidRPr="00B33EE6">
        <w:rPr>
          <w:sz w:val="22"/>
          <w:szCs w:val="22"/>
          <w:lang w:val="en-GB"/>
        </w:rPr>
        <w:t xml:space="preserve">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6B5ACA">
      <w:pPr>
        <w:keepNext/>
        <w:jc w:val="center"/>
        <w:rPr>
          <w:sz w:val="28"/>
          <w:szCs w:val="28"/>
          <w:lang w:val="en-GB"/>
        </w:rPr>
      </w:pPr>
      <w:r>
        <w:rPr>
          <w:noProof/>
          <w:snapToGrid/>
          <w:sz w:val="22"/>
          <w:szCs w:val="22"/>
          <w:lang w:val="sr-Latn-RS" w:eastAsia="sr-Latn-RS"/>
        </w:rPr>
        <mc:AlternateContent>
          <mc:Choice Requires="wps">
            <w:drawing>
              <wp:anchor distT="0" distB="0" distL="114300" distR="114300" simplePos="0" relativeHeight="251657728" behindDoc="0" locked="0" layoutInCell="0" allowOverlap="1">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B324B4"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142154" w:rsidP="00571687">
      <w:pPr>
        <w:pStyle w:val="Blockquote"/>
        <w:jc w:val="both"/>
        <w:rPr>
          <w:i/>
          <w:sz w:val="22"/>
          <w:szCs w:val="22"/>
          <w:lang w:val="en-GB"/>
        </w:rPr>
      </w:pPr>
      <w:r w:rsidRPr="00A95439">
        <w:rPr>
          <w:rStyle w:val="Emphasis"/>
          <w:i w:val="0"/>
          <w:sz w:val="22"/>
          <w:szCs w:val="22"/>
          <w:lang w:val="en-GB"/>
        </w:rPr>
        <w:t>2</w:t>
      </w:r>
      <w:r w:rsidR="00A95439" w:rsidRPr="00A95439">
        <w:rPr>
          <w:rStyle w:val="Emphasis"/>
          <w:i w:val="0"/>
          <w:sz w:val="22"/>
          <w:szCs w:val="22"/>
          <w:lang w:val="en-GB"/>
        </w:rPr>
        <w:t>8</w:t>
      </w:r>
      <w:r w:rsidRPr="00A95439">
        <w:rPr>
          <w:rStyle w:val="Emphasis"/>
          <w:i w:val="0"/>
          <w:sz w:val="22"/>
          <w:szCs w:val="22"/>
          <w:lang w:val="en-GB"/>
        </w:rPr>
        <w:t>.07.2020.</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F54865" w:rsidP="00571687">
      <w:pPr>
        <w:pStyle w:val="Blockquote"/>
        <w:jc w:val="both"/>
        <w:rPr>
          <w:i/>
          <w:sz w:val="22"/>
          <w:szCs w:val="22"/>
          <w:lang w:val="en-GB"/>
        </w:rPr>
      </w:pPr>
      <w:r w:rsidRPr="00A95439">
        <w:rPr>
          <w:rStyle w:val="Emphasis"/>
          <w:i w:val="0"/>
          <w:sz w:val="22"/>
          <w:szCs w:val="22"/>
          <w:lang w:val="en-GB"/>
        </w:rPr>
        <w:t>9 months, but not later than 29.04.2021.</w:t>
      </w:r>
    </w:p>
    <w:p w:rsidR="006F5FD0" w:rsidRPr="00B33EE6" w:rsidRDefault="006B5ACA">
      <w:pPr>
        <w:rPr>
          <w:sz w:val="22"/>
          <w:szCs w:val="22"/>
          <w:lang w:val="en-GB"/>
        </w:rPr>
      </w:pPr>
      <w:r>
        <w:rPr>
          <w:noProof/>
          <w:snapToGrid/>
          <w:sz w:val="22"/>
          <w:szCs w:val="22"/>
          <w:lang w:val="sr-Latn-RS" w:eastAsia="sr-Latn-RS"/>
        </w:rPr>
        <mc:AlternateContent>
          <mc:Choice Requires="wps">
            <w:drawing>
              <wp:anchor distT="0" distB="0" distL="114300" distR="114300" simplePos="0" relativeHeight="251658752"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EAC428"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w:t>
      </w:r>
      <w:proofErr w:type="gramStart"/>
      <w:r w:rsidR="006751D2" w:rsidRPr="00B33EE6">
        <w:rPr>
          <w:sz w:val="22"/>
          <w:szCs w:val="22"/>
          <w:lang w:val="en-GB"/>
        </w:rPr>
        <w:t>if</w:t>
      </w:r>
      <w:proofErr w:type="gramEnd"/>
      <w:r w:rsidR="006751D2" w:rsidRPr="00B33EE6">
        <w:rPr>
          <w:sz w:val="22"/>
          <w:szCs w:val="22"/>
          <w:lang w:val="en-GB"/>
        </w:rPr>
        <w:t xml:space="preserve"> not specified otherwise. The selection criteria will not be applied to natural persons and single-member companies when they are sub-contractors.</w:t>
      </w:r>
    </w:p>
    <w:p w:rsidR="006F5FD0" w:rsidRDefault="006F5FD0" w:rsidP="00E45CE6">
      <w:pPr>
        <w:pStyle w:val="Blockquote"/>
        <w:numPr>
          <w:ilvl w:val="0"/>
          <w:numId w:val="3"/>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E0156B" w:rsidRPr="00B33EE6" w:rsidRDefault="00E0156B" w:rsidP="00E45CE6">
      <w:pPr>
        <w:pStyle w:val="Blockquote"/>
        <w:numPr>
          <w:ilvl w:val="0"/>
          <w:numId w:val="4"/>
        </w:numPr>
        <w:ind w:right="357"/>
        <w:jc w:val="both"/>
        <w:rPr>
          <w:sz w:val="22"/>
          <w:szCs w:val="22"/>
          <w:lang w:val="en-GB"/>
        </w:rPr>
      </w:pPr>
      <w:r>
        <w:rPr>
          <w:sz w:val="22"/>
          <w:szCs w:val="22"/>
          <w:lang w:val="en-GB"/>
        </w:rPr>
        <w:t>T</w:t>
      </w:r>
      <w:r w:rsidRPr="008425C2">
        <w:rPr>
          <w:sz w:val="22"/>
          <w:szCs w:val="22"/>
          <w:lang w:val="en-GB"/>
        </w:rPr>
        <w:t>he average annual turnover of the tenderer must exc</w:t>
      </w:r>
      <w:r w:rsidR="005D445E">
        <w:rPr>
          <w:sz w:val="22"/>
          <w:szCs w:val="22"/>
          <w:lang w:val="en-GB"/>
        </w:rPr>
        <w:t xml:space="preserve">eed </w:t>
      </w:r>
      <w:r>
        <w:rPr>
          <w:sz w:val="22"/>
          <w:szCs w:val="22"/>
          <w:lang w:val="en-GB"/>
        </w:rPr>
        <w:t>the budget of the contract.</w:t>
      </w: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w:t>
      </w:r>
      <w:r w:rsidRPr="00B33EE6">
        <w:rPr>
          <w:sz w:val="22"/>
          <w:szCs w:val="22"/>
          <w:lang w:val="en-GB"/>
        </w:rPr>
        <w:lastRenderedPageBreak/>
        <w:t>submission deadline.</w:t>
      </w:r>
    </w:p>
    <w:p w:rsidR="005D445E" w:rsidRDefault="005D445E" w:rsidP="00E45CE6">
      <w:pPr>
        <w:pStyle w:val="Blockquote"/>
        <w:numPr>
          <w:ilvl w:val="0"/>
          <w:numId w:val="1"/>
        </w:numPr>
        <w:tabs>
          <w:tab w:val="clear" w:pos="360"/>
          <w:tab w:val="num" w:pos="851"/>
        </w:tabs>
        <w:spacing w:before="0"/>
        <w:ind w:left="851" w:right="357" w:hanging="284"/>
        <w:jc w:val="both"/>
        <w:rPr>
          <w:sz w:val="22"/>
          <w:szCs w:val="22"/>
          <w:lang w:val="en-GB"/>
        </w:rPr>
      </w:pPr>
      <w:r>
        <w:rPr>
          <w:sz w:val="22"/>
          <w:szCs w:val="22"/>
          <w:lang w:val="en-GB"/>
        </w:rPr>
        <w:t>A</w:t>
      </w:r>
      <w:r w:rsidRPr="00A42FC3">
        <w:rPr>
          <w:sz w:val="22"/>
          <w:szCs w:val="22"/>
          <w:lang w:val="en-GB"/>
        </w:rPr>
        <w:t xml:space="preserve">t least </w:t>
      </w:r>
      <w:r>
        <w:rPr>
          <w:sz w:val="22"/>
          <w:szCs w:val="22"/>
          <w:lang w:val="en-GB"/>
        </w:rPr>
        <w:t>1</w:t>
      </w:r>
      <w:r w:rsidRPr="00A42FC3">
        <w:rPr>
          <w:sz w:val="22"/>
          <w:szCs w:val="22"/>
          <w:lang w:val="en-GB"/>
        </w:rPr>
        <w:t xml:space="preserve"> staff member currently work for the tenderer in f</w:t>
      </w:r>
      <w:r>
        <w:rPr>
          <w:sz w:val="22"/>
          <w:szCs w:val="22"/>
          <w:lang w:val="en-GB"/>
        </w:rPr>
        <w:t>ields related to this contract.</w:t>
      </w:r>
    </w:p>
    <w:p w:rsidR="005D445E" w:rsidRPr="00B33EE6" w:rsidRDefault="005D445E" w:rsidP="00B33EE6">
      <w:pPr>
        <w:pStyle w:val="Blockquote"/>
        <w:ind w:right="357" w:hanging="3"/>
        <w:jc w:val="both"/>
        <w:rPr>
          <w:sz w:val="22"/>
          <w:szCs w:val="22"/>
          <w:lang w:val="en-GB"/>
        </w:rPr>
      </w:pPr>
    </w:p>
    <w:p w:rsidR="00BE08EC" w:rsidRDefault="006F5FD0" w:rsidP="00E45CE6">
      <w:pPr>
        <w:pStyle w:val="Blockquote"/>
        <w:numPr>
          <w:ilvl w:val="0"/>
          <w:numId w:val="3"/>
        </w:numPr>
        <w:ind w:right="357"/>
        <w:jc w:val="both"/>
        <w:rPr>
          <w:sz w:val="22"/>
          <w:szCs w:val="22"/>
          <w:lang w:val="en-GB"/>
        </w:rPr>
      </w:pPr>
      <w:r w:rsidRPr="00B33EE6">
        <w:rPr>
          <w:b/>
          <w:sz w:val="22"/>
          <w:szCs w:val="22"/>
          <w:u w:val="single"/>
          <w:lang w:val="en-GB"/>
        </w:rPr>
        <w:t xml:space="preserve">Technical capacity of </w:t>
      </w:r>
      <w:r w:rsidR="00C03AF5">
        <w:rPr>
          <w:b/>
          <w:sz w:val="22"/>
          <w:szCs w:val="22"/>
          <w:u w:val="single"/>
          <w:lang w:val="en-GB"/>
        </w:rPr>
        <w:t>tenderer</w:t>
      </w:r>
      <w:r w:rsidRPr="00B33EE6">
        <w:rPr>
          <w:b/>
          <w:sz w:val="22"/>
          <w:szCs w:val="22"/>
          <w:u w:val="single"/>
          <w:lang w:val="en-GB"/>
        </w:rPr>
        <w:t xml:space="preserve"> </w:t>
      </w:r>
      <w:r w:rsidR="00087A72" w:rsidRPr="00B33EE6">
        <w:rPr>
          <w:sz w:val="22"/>
          <w:szCs w:val="22"/>
          <w:lang w:val="en-GB"/>
        </w:rPr>
        <w:t>(</w:t>
      </w:r>
      <w:r w:rsidRPr="00B33EE6">
        <w:rPr>
          <w:sz w:val="22"/>
          <w:szCs w:val="22"/>
          <w:lang w:val="en-GB"/>
        </w:rPr>
        <w:t xml:space="preserve">based on items 5 and 6 of the </w:t>
      </w:r>
      <w:r w:rsidR="00994EA3" w:rsidRPr="00B33EE6">
        <w:rPr>
          <w:sz w:val="22"/>
          <w:szCs w:val="22"/>
          <w:lang w:val="en-GB"/>
        </w:rPr>
        <w:t>tender</w:t>
      </w:r>
      <w:r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9701F5">
        <w:rPr>
          <w:sz w:val="22"/>
          <w:szCs w:val="22"/>
          <w:lang w:val="en-GB"/>
        </w:rPr>
        <w:t>5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rsidR="00DC1329" w:rsidRDefault="00DC1329" w:rsidP="00DC1329">
      <w:pPr>
        <w:pStyle w:val="Blockquote"/>
        <w:tabs>
          <w:tab w:val="left" w:pos="426"/>
        </w:tabs>
        <w:jc w:val="both"/>
        <w:rPr>
          <w:sz w:val="22"/>
          <w:szCs w:val="22"/>
          <w:lang w:val="en-GB"/>
        </w:rPr>
      </w:pPr>
      <w:r w:rsidRPr="006959A1">
        <w:rPr>
          <w:sz w:val="22"/>
          <w:szCs w:val="22"/>
          <w:lang w:val="en-GB"/>
        </w:rPr>
        <w:t>The objective of this criterion is to examine whether or not the tenderer (i.e. the consortium as a whole, in the case of a tender from a consortium)</w:t>
      </w:r>
      <w:r>
        <w:rPr>
          <w:sz w:val="22"/>
          <w:szCs w:val="22"/>
          <w:lang w:val="en-GB"/>
        </w:rPr>
        <w:t xml:space="preserve"> </w:t>
      </w:r>
      <w:r w:rsidRPr="006959A1">
        <w:rPr>
          <w:sz w:val="22"/>
          <w:szCs w:val="22"/>
          <w:lang w:val="en-GB"/>
        </w:rPr>
        <w:t>has sufficient expertise and experience to be able to handle the proposed contract.</w:t>
      </w:r>
    </w:p>
    <w:p w:rsidR="00DC1329" w:rsidRPr="00A42FC3" w:rsidRDefault="00DC1329" w:rsidP="00E45CE6">
      <w:pPr>
        <w:pStyle w:val="ListParagraph"/>
        <w:numPr>
          <w:ilvl w:val="0"/>
          <w:numId w:val="1"/>
        </w:numPr>
        <w:tabs>
          <w:tab w:val="clear" w:pos="360"/>
          <w:tab w:val="num" w:pos="720"/>
        </w:tabs>
        <w:ind w:left="720"/>
        <w:rPr>
          <w:sz w:val="22"/>
          <w:szCs w:val="22"/>
          <w:lang w:val="en-GB"/>
        </w:rPr>
      </w:pPr>
      <w:r w:rsidRPr="00A42FC3">
        <w:rPr>
          <w:sz w:val="22"/>
          <w:szCs w:val="22"/>
          <w:lang w:val="en-GB"/>
        </w:rPr>
        <w:t>The tenderer has provided services under at least</w:t>
      </w:r>
      <w:r>
        <w:rPr>
          <w:sz w:val="22"/>
          <w:szCs w:val="22"/>
          <w:lang w:val="en-GB"/>
        </w:rPr>
        <w:t xml:space="preserve"> one </w:t>
      </w:r>
      <w:r w:rsidRPr="00A42FC3">
        <w:rPr>
          <w:sz w:val="22"/>
          <w:szCs w:val="22"/>
          <w:lang w:val="en-GB"/>
        </w:rPr>
        <w:t xml:space="preserve">1 contract with a budget of at least that of this contract in fields of </w:t>
      </w:r>
      <w:r>
        <w:rPr>
          <w:sz w:val="22"/>
          <w:szCs w:val="22"/>
          <w:lang w:val="en-GB"/>
        </w:rPr>
        <w:t xml:space="preserve">organization of events </w:t>
      </w:r>
      <w:r w:rsidRPr="00A42FC3">
        <w:rPr>
          <w:sz w:val="22"/>
          <w:szCs w:val="22"/>
          <w:lang w:val="en-GB"/>
        </w:rPr>
        <w:t xml:space="preserve">which were implemented at any moment during the last </w:t>
      </w:r>
      <w:r>
        <w:rPr>
          <w:sz w:val="22"/>
          <w:szCs w:val="22"/>
          <w:lang w:val="en-GB"/>
        </w:rPr>
        <w:t>5</w:t>
      </w:r>
      <w:r w:rsidRPr="00A42FC3">
        <w:rPr>
          <w:sz w:val="22"/>
          <w:szCs w:val="22"/>
          <w:lang w:val="en-GB"/>
        </w:rPr>
        <w:t xml:space="preserve"> years preceding the submission deadline.</w:t>
      </w:r>
    </w:p>
    <w:p w:rsidR="00DC1329" w:rsidRDefault="00DC1329" w:rsidP="00DC1329">
      <w:pPr>
        <w:pStyle w:val="ListParagraph"/>
        <w:ind w:left="360"/>
        <w:rPr>
          <w:sz w:val="22"/>
          <w:szCs w:val="22"/>
          <w:lang w:val="en-GB"/>
        </w:rPr>
      </w:pPr>
    </w:p>
    <w:p w:rsidR="00DC1329" w:rsidRDefault="00DC1329" w:rsidP="00DC1329">
      <w:pPr>
        <w:pStyle w:val="Blockquote"/>
        <w:tabs>
          <w:tab w:val="left" w:pos="426"/>
        </w:tabs>
        <w:ind w:left="426" w:right="26"/>
        <w:jc w:val="both"/>
        <w:rPr>
          <w:sz w:val="22"/>
          <w:szCs w:val="22"/>
          <w:lang w:val="en-GB"/>
        </w:rPr>
      </w:pPr>
      <w:r w:rsidRPr="00313AFB">
        <w:rPr>
          <w:sz w:val="22"/>
          <w:szCs w:val="22"/>
          <w:lang w:val="en-GB"/>
        </w:rPr>
        <w:t xml:space="preserve">This means that the service contract the tenderer refers to could have been started or completed at any time during the indicated period but it does not necessarily have to be started and completed during that period, nor implemented during the entire period. Tenderers are allowed to refer either to service contracts completed within the reference period (although started earlier) or to service contracts not yet completed. In the first case the service contract will be considered in its whole if proper evidence of performance is provided (statement or certificate from the entity which awarded the contract, proof of final payment for services). In case of service contract still on-going only the portion satisfactorily completed during the reference period although started earlier will be taken into consideration. This portion will have to be supported by documentary evidence (similarly to service contracts completed) also detailing its </w:t>
      </w:r>
      <w:proofErr w:type="spellStart"/>
      <w:r w:rsidRPr="00313AFB">
        <w:rPr>
          <w:sz w:val="22"/>
          <w:szCs w:val="22"/>
          <w:lang w:val="en-GB"/>
        </w:rPr>
        <w:t>value.If</w:t>
      </w:r>
      <w:proofErr w:type="spellEnd"/>
      <w:r w:rsidRPr="00313AFB">
        <w:rPr>
          <w:sz w:val="22"/>
          <w:szCs w:val="22"/>
          <w:lang w:val="en-GB"/>
        </w:rPr>
        <w:t xml:space="preserve"> a tenderer has implemented the service contract in a consortium, the percentage that the tenderer</w:t>
      </w:r>
      <w:r w:rsidRPr="00B33EE6">
        <w:rPr>
          <w:sz w:val="22"/>
          <w:szCs w:val="22"/>
          <w:lang w:val="en-GB"/>
        </w:rPr>
        <w:t xml:space="preserve"> has successfully completed must be clear from the documentary evidence, together with a description of the nature of the services provided if the selection criteria relating to the pertinence of the experience have been used.</w:t>
      </w:r>
    </w:p>
    <w:p w:rsidR="00DC1329" w:rsidRDefault="00DC1329" w:rsidP="00DC1329">
      <w:pPr>
        <w:pStyle w:val="Blockquote"/>
        <w:tabs>
          <w:tab w:val="left" w:pos="426"/>
        </w:tabs>
        <w:ind w:left="426" w:right="26"/>
        <w:jc w:val="both"/>
        <w:rPr>
          <w:sz w:val="22"/>
          <w:szCs w:val="22"/>
          <w:lang w:val="en-GB"/>
        </w:rPr>
      </w:pPr>
      <w:r w:rsidRPr="00B33EE6">
        <w:rPr>
          <w:sz w:val="22"/>
          <w:szCs w:val="22"/>
          <w:lang w:val="en-GB"/>
        </w:rPr>
        <w:t xml:space="preserve">Previous experience which would have led to breach of contract and termination by a </w:t>
      </w:r>
      <w:r>
        <w:rPr>
          <w:sz w:val="22"/>
          <w:szCs w:val="22"/>
          <w:lang w:val="en-GB"/>
        </w:rPr>
        <w:t>c</w:t>
      </w:r>
      <w:r w:rsidRPr="00B33EE6">
        <w:rPr>
          <w:sz w:val="22"/>
          <w:szCs w:val="22"/>
          <w:lang w:val="en-GB"/>
        </w:rPr>
        <w:t xml:space="preserve">ontracting </w:t>
      </w:r>
      <w:r>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DC1329" w:rsidRPr="00B33EE6" w:rsidRDefault="00DC1329" w:rsidP="00DC1329">
      <w:pPr>
        <w:pStyle w:val="Blockquote"/>
        <w:tabs>
          <w:tab w:val="left" w:pos="426"/>
        </w:tabs>
        <w:ind w:left="426" w:right="26"/>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Pr>
          <w:sz w:val="22"/>
          <w:szCs w:val="22"/>
          <w:lang w:val="en-GB"/>
        </w:rPr>
        <w:t>c</w:t>
      </w:r>
      <w:r w:rsidRPr="00B33EE6">
        <w:rPr>
          <w:sz w:val="22"/>
          <w:szCs w:val="22"/>
          <w:lang w:val="en-GB"/>
        </w:rPr>
        <w:t xml:space="preserve">ontracting </w:t>
      </w:r>
      <w:r>
        <w:rPr>
          <w:sz w:val="22"/>
          <w:szCs w:val="22"/>
          <w:lang w:val="en-GB"/>
        </w:rPr>
        <w:t>a</w:t>
      </w:r>
      <w:r w:rsidRPr="00B33EE6">
        <w:rPr>
          <w:sz w:val="22"/>
          <w:szCs w:val="22"/>
          <w:lang w:val="en-GB"/>
        </w:rPr>
        <w:t xml:space="preserve">uthority that it will have at its disposal the resources necessary for </w:t>
      </w:r>
      <w:r>
        <w:rPr>
          <w:sz w:val="22"/>
          <w:szCs w:val="22"/>
          <w:lang w:val="en-GB"/>
        </w:rPr>
        <w:t xml:space="preserve">the </w:t>
      </w:r>
      <w:r w:rsidRPr="00B33EE6">
        <w:rPr>
          <w:sz w:val="22"/>
          <w:szCs w:val="22"/>
          <w:lang w:val="en-GB"/>
        </w:rPr>
        <w:t>performance of the contract by producing a commitment</w:t>
      </w:r>
      <w:r>
        <w:rPr>
          <w:sz w:val="22"/>
          <w:szCs w:val="22"/>
          <w:lang w:val="en-GB"/>
        </w:rPr>
        <w:t xml:space="preserve"> by </w:t>
      </w:r>
      <w:r w:rsidRPr="00B33EE6">
        <w:rPr>
          <w:sz w:val="22"/>
          <w:szCs w:val="22"/>
          <w:lang w:val="en-GB"/>
        </w:rPr>
        <w:t xml:space="preserve">those entities to place those resources at its disposal. Such entities, for instance the parent company of the economic operator, must respect the same rules of eligibility - notably that of nationality -and must </w:t>
      </w:r>
      <w:r w:rsidRPr="00AF0B6B">
        <w:rPr>
          <w:sz w:val="22"/>
          <w:szCs w:val="22"/>
          <w:lang w:val="en-GB"/>
        </w:rPr>
        <w:t>comply with the selection criteria for which the economic operator relies on them</w:t>
      </w:r>
      <w:r w:rsidRPr="00B33EE6">
        <w:rPr>
          <w:sz w:val="22"/>
          <w:szCs w:val="22"/>
          <w:lang w:val="en-GB"/>
        </w:rPr>
        <w:t>.</w:t>
      </w:r>
      <w:r>
        <w:rPr>
          <w:sz w:val="22"/>
          <w:szCs w:val="22"/>
          <w:lang w:val="en-GB"/>
        </w:rPr>
        <w:t xml:space="preserve"> </w:t>
      </w:r>
      <w:r w:rsidRPr="00C04FCE">
        <w:rPr>
          <w:sz w:val="22"/>
          <w:szCs w:val="22"/>
          <w:lang w:val="en-GB"/>
        </w:rPr>
        <w:t>Furthermore, the data for this third entity for the relevant selection criterion should be included in the tender in a separate document. Proof of the capac</w:t>
      </w:r>
      <w:r>
        <w:rPr>
          <w:sz w:val="22"/>
          <w:szCs w:val="22"/>
          <w:lang w:val="en-GB"/>
        </w:rPr>
        <w:t>ity will also have to be provid</w:t>
      </w:r>
      <w:r w:rsidRPr="00C04FCE">
        <w:rPr>
          <w:sz w:val="22"/>
          <w:szCs w:val="22"/>
          <w:lang w:val="en-GB"/>
        </w:rPr>
        <w:t>ed when requested by the contracting authority.</w:t>
      </w:r>
      <w:r>
        <w:rPr>
          <w:sz w:val="22"/>
          <w:szCs w:val="22"/>
          <w:lang w:val="en-GB"/>
        </w:rPr>
        <w:t xml:space="preserve"> </w:t>
      </w:r>
      <w:r w:rsidRPr="00B33EE6">
        <w:rPr>
          <w:sz w:val="22"/>
          <w:szCs w:val="22"/>
          <w:lang w:val="en-GB"/>
        </w:rPr>
        <w:t>With regard to technical and professional criteria, an economic operator may only rely on the capacities of other entities where the latter will perform the services for which these capacities are required.</w:t>
      </w:r>
      <w:r>
        <w:rPr>
          <w:sz w:val="22"/>
          <w:szCs w:val="22"/>
          <w:lang w:val="en-GB"/>
        </w:rPr>
        <w:t xml:space="preserve"> </w:t>
      </w:r>
      <w:r w:rsidRPr="00B33EE6">
        <w:rPr>
          <w:sz w:val="22"/>
          <w:szCs w:val="22"/>
          <w:lang w:val="en-GB"/>
        </w:rPr>
        <w:t>With regard to economic and financial criteria the entities upon whose capacity the tenderer relies become jointly and severally liable for the performance of the contract.</w:t>
      </w:r>
    </w:p>
    <w:p w:rsidR="00DC1329" w:rsidRPr="00B33EE6" w:rsidRDefault="00DC1329" w:rsidP="00DC1329">
      <w:pPr>
        <w:pStyle w:val="Blockquote"/>
        <w:ind w:left="717" w:right="357"/>
        <w:jc w:val="both"/>
        <w:rPr>
          <w:sz w:val="22"/>
          <w:szCs w:val="22"/>
          <w:lang w:val="en-GB"/>
        </w:rPr>
      </w:pP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rsidR="006F5FD0" w:rsidRPr="00B33EE6" w:rsidRDefault="006B5ACA">
      <w:pPr>
        <w:rPr>
          <w:sz w:val="22"/>
          <w:szCs w:val="22"/>
          <w:lang w:val="en-GB"/>
        </w:rPr>
      </w:pPr>
      <w:r>
        <w:rPr>
          <w:noProof/>
          <w:snapToGrid/>
          <w:sz w:val="22"/>
          <w:szCs w:val="22"/>
          <w:lang w:val="sr-Latn-RS" w:eastAsia="sr-Latn-RS"/>
        </w:rPr>
        <mc:AlternateContent>
          <mc:Choice Requires="wps">
            <w:drawing>
              <wp:anchor distT="0" distB="0" distL="114300" distR="114300" simplePos="0" relativeHeight="251659776"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BBC4B1"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rsidR="006F5FD0" w:rsidRPr="00B33EE6" w:rsidRDefault="00994EA3">
      <w:pPr>
        <w:keepNext/>
        <w:jc w:val="center"/>
        <w:rPr>
          <w:sz w:val="28"/>
          <w:szCs w:val="28"/>
          <w:lang w:val="en-GB"/>
        </w:rPr>
      </w:pPr>
      <w:r w:rsidRPr="00B33EE6">
        <w:rPr>
          <w:rStyle w:val="Strong"/>
          <w:sz w:val="28"/>
          <w:szCs w:val="28"/>
          <w:lang w:val="en-GB"/>
        </w:rPr>
        <w:lastRenderedPageBreak/>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receipt 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receipt 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E45CE6" w:rsidP="004D5EDB">
      <w:pPr>
        <w:pStyle w:val="Blockquote"/>
        <w:jc w:val="both"/>
        <w:rPr>
          <w:sz w:val="22"/>
          <w:szCs w:val="22"/>
          <w:lang w:val="en-GB"/>
        </w:rPr>
      </w:pPr>
      <w:hyperlink r:id="rId9"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6F5FD0" w:rsidRPr="00B33EE6" w:rsidRDefault="004E1482" w:rsidP="00584BF4">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rsidR="00A95439" w:rsidRDefault="00585E1F" w:rsidP="00A95439">
      <w:pPr>
        <w:spacing w:before="120" w:after="0"/>
        <w:ind w:left="426" w:right="310"/>
        <w:jc w:val="both"/>
        <w:rPr>
          <w:sz w:val="22"/>
          <w:szCs w:val="22"/>
          <w:lang w:val="en-GB" w:eastAsia="ja-JP"/>
        </w:rPr>
      </w:pPr>
      <w:r w:rsidRPr="00A24A24">
        <w:rPr>
          <w:sz w:val="22"/>
          <w:szCs w:val="22"/>
          <w:lang w:val="en-GB"/>
        </w:rPr>
        <w:t>Regulation(EU) No </w:t>
      </w:r>
      <w:r w:rsidRPr="00A24A24">
        <w:rPr>
          <w:sz w:val="22"/>
          <w:szCs w:val="22"/>
          <w:lang w:val="en-GB" w:eastAsia="ja-JP"/>
        </w:rPr>
        <w:t xml:space="preserve">236/2014 of the European Parliament and of the Council of 11 March 2014 laying down common rules and procedures for the implementation of the Union's instruments for financing external action and </w:t>
      </w:r>
    </w:p>
    <w:p w:rsidR="00585E1F" w:rsidRDefault="00585E1F" w:rsidP="00E45CE6">
      <w:pPr>
        <w:pStyle w:val="ListParagraph"/>
        <w:numPr>
          <w:ilvl w:val="0"/>
          <w:numId w:val="8"/>
        </w:numPr>
        <w:spacing w:before="120" w:after="0"/>
        <w:ind w:right="310"/>
        <w:jc w:val="both"/>
        <w:rPr>
          <w:sz w:val="22"/>
          <w:szCs w:val="22"/>
          <w:lang w:val="en-GB" w:eastAsia="ja-JP"/>
        </w:rPr>
      </w:pPr>
      <w:r w:rsidRPr="00A95439">
        <w:rPr>
          <w:sz w:val="22"/>
          <w:szCs w:val="22"/>
          <w:lang w:val="en-GB" w:eastAsia="ja-JP"/>
        </w:rPr>
        <w:t>Commission Implementing Regulation (EU) No 447/2014 of May 2014 on the specific rules for implementing Regulation (EU) No 231/2014 of the European Parliament and of the Council establishing an Instrument for Pre-accession assistance (IPA II);</w:t>
      </w:r>
    </w:p>
    <w:p w:rsidR="00585E1F" w:rsidRPr="00A24A24" w:rsidRDefault="00585E1F" w:rsidP="00E45CE6">
      <w:pPr>
        <w:keepNext/>
        <w:keepLines/>
        <w:widowControl/>
        <w:numPr>
          <w:ilvl w:val="0"/>
          <w:numId w:val="7"/>
        </w:numPr>
        <w:spacing w:before="120" w:after="0"/>
        <w:jc w:val="both"/>
        <w:rPr>
          <w:sz w:val="22"/>
          <w:szCs w:val="22"/>
          <w:lang w:val="en-GB" w:eastAsia="ja-JP"/>
        </w:rPr>
      </w:pPr>
      <w:r w:rsidRPr="00A24A24">
        <w:rPr>
          <w:sz w:val="22"/>
          <w:szCs w:val="22"/>
          <w:lang w:val="en-GB" w:eastAsia="ja-JP"/>
        </w:rPr>
        <w:lastRenderedPageBreak/>
        <w:t>Regulation (EU) No 1299/2013 of the European Parliament and of the Council of 17 December 2013 on specific provisions for the support from the European Regional Development Fund to the European territorial cooperation goal;</w:t>
      </w:r>
    </w:p>
    <w:p w:rsidR="00585E1F" w:rsidRPr="00A24A24" w:rsidRDefault="00585E1F" w:rsidP="00E45CE6">
      <w:pPr>
        <w:keepNext/>
        <w:keepLines/>
        <w:widowControl/>
        <w:numPr>
          <w:ilvl w:val="0"/>
          <w:numId w:val="7"/>
        </w:numPr>
        <w:spacing w:before="120" w:after="0"/>
        <w:jc w:val="both"/>
        <w:rPr>
          <w:sz w:val="22"/>
          <w:szCs w:val="22"/>
          <w:lang w:val="en-GB" w:eastAsia="ja-JP"/>
        </w:rPr>
      </w:pPr>
      <w:r w:rsidRPr="00A24A24">
        <w:rPr>
          <w:sz w:val="22"/>
          <w:szCs w:val="22"/>
          <w:lang w:val="en-GB" w:eastAsia="ja-JP"/>
        </w:rPr>
        <w:t>Commission Delegated Regulation (EU) No 481/2014 of 4 March 2014 supplementing Regulation (EU) No 1299/2013 of the European Parliament and of the Council with regard to specific rules on eligibility of expenditure for cooperation programmes;</w:t>
      </w:r>
    </w:p>
    <w:p w:rsidR="00585E1F" w:rsidRPr="00A24A24" w:rsidRDefault="00585E1F" w:rsidP="00E45CE6">
      <w:pPr>
        <w:keepNext/>
        <w:keepLines/>
        <w:widowControl/>
        <w:numPr>
          <w:ilvl w:val="0"/>
          <w:numId w:val="7"/>
        </w:numPr>
        <w:spacing w:before="120" w:after="0"/>
        <w:jc w:val="both"/>
        <w:rPr>
          <w:sz w:val="22"/>
          <w:szCs w:val="22"/>
          <w:lang w:val="en-GB" w:eastAsia="ja-JP"/>
        </w:rPr>
      </w:pPr>
      <w:r w:rsidRPr="00A24A24">
        <w:rPr>
          <w:sz w:val="22"/>
          <w:szCs w:val="22"/>
          <w:lang w:val="en-GB" w:eastAsia="ja-JP"/>
        </w:rPr>
        <w:t>Regulation (EU) No 236/2014 of the European Parliament and of the Council of 11 March 2014 laying down common rules and procedures for the implementation of the Union's instruments for financing external action;</w:t>
      </w:r>
    </w:p>
    <w:p w:rsidR="00585E1F" w:rsidRPr="00A24A24" w:rsidRDefault="00585E1F" w:rsidP="00E45CE6">
      <w:pPr>
        <w:keepNext/>
        <w:keepLines/>
        <w:widowControl/>
        <w:numPr>
          <w:ilvl w:val="0"/>
          <w:numId w:val="7"/>
        </w:numPr>
        <w:spacing w:before="120" w:after="0"/>
        <w:jc w:val="both"/>
        <w:rPr>
          <w:sz w:val="22"/>
          <w:szCs w:val="22"/>
          <w:lang w:val="en-GB" w:eastAsia="ja-JP"/>
        </w:rPr>
      </w:pPr>
      <w:r w:rsidRPr="00A24A24">
        <w:rPr>
          <w:sz w:val="22"/>
          <w:szCs w:val="22"/>
          <w:lang w:val="en-GB" w:eastAsia="ja-JP"/>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rsidR="00585E1F" w:rsidRPr="00A24A24" w:rsidRDefault="00585E1F" w:rsidP="00E45CE6">
      <w:pPr>
        <w:keepNext/>
        <w:keepLines/>
        <w:widowControl/>
        <w:numPr>
          <w:ilvl w:val="0"/>
          <w:numId w:val="7"/>
        </w:numPr>
        <w:spacing w:before="120" w:after="0"/>
        <w:jc w:val="both"/>
        <w:rPr>
          <w:sz w:val="22"/>
          <w:szCs w:val="22"/>
          <w:lang w:val="en-GB" w:eastAsia="ja-JP"/>
        </w:rPr>
      </w:pPr>
      <w:r w:rsidRPr="00A24A24">
        <w:rPr>
          <w:sz w:val="22"/>
          <w:szCs w:val="22"/>
          <w:lang w:val="en-GB" w:eastAsia="ja-JP"/>
        </w:rPr>
        <w:t xml:space="preserve">Council Regulation (EU, EURATOM) No 966/2012 of the European Parliament and of the Council of 25 October 2012 on the financial rules applicable to the general budget of the Union and repealing Council Regulation (EC, </w:t>
      </w:r>
      <w:proofErr w:type="spellStart"/>
      <w:r w:rsidRPr="00A24A24">
        <w:rPr>
          <w:sz w:val="22"/>
          <w:szCs w:val="22"/>
          <w:lang w:val="en-GB" w:eastAsia="ja-JP"/>
        </w:rPr>
        <w:t>Euratom</w:t>
      </w:r>
      <w:proofErr w:type="spellEnd"/>
      <w:r w:rsidRPr="00A24A24">
        <w:rPr>
          <w:sz w:val="22"/>
          <w:szCs w:val="22"/>
          <w:lang w:val="en-GB" w:eastAsia="ja-JP"/>
        </w:rPr>
        <w:t>) No 1605/2002;</w:t>
      </w:r>
    </w:p>
    <w:p w:rsidR="00585E1F" w:rsidRPr="00A24A24" w:rsidRDefault="00585E1F" w:rsidP="00E45CE6">
      <w:pPr>
        <w:keepNext/>
        <w:keepLines/>
        <w:widowControl/>
        <w:numPr>
          <w:ilvl w:val="0"/>
          <w:numId w:val="7"/>
        </w:numPr>
        <w:spacing w:before="120" w:after="0"/>
        <w:jc w:val="both"/>
        <w:rPr>
          <w:sz w:val="22"/>
          <w:szCs w:val="22"/>
          <w:lang w:val="en-GB" w:eastAsia="ja-JP"/>
        </w:rPr>
      </w:pPr>
      <w:r w:rsidRPr="00A24A24">
        <w:rPr>
          <w:sz w:val="22"/>
          <w:szCs w:val="22"/>
          <w:lang w:val="en-GB" w:eastAsia="ja-JP"/>
        </w:rPr>
        <w:t xml:space="preserve">Commission Delegated Regulation (EU) No 1268/2012 of 29 October 2012 on the rules of application of Regulation (EU, </w:t>
      </w:r>
      <w:proofErr w:type="spellStart"/>
      <w:r w:rsidRPr="00A24A24">
        <w:rPr>
          <w:sz w:val="22"/>
          <w:szCs w:val="22"/>
          <w:lang w:val="en-GB" w:eastAsia="ja-JP"/>
        </w:rPr>
        <w:t>Euratom</w:t>
      </w:r>
      <w:proofErr w:type="spellEnd"/>
      <w:r w:rsidRPr="00A24A24">
        <w:rPr>
          <w:sz w:val="22"/>
          <w:szCs w:val="22"/>
          <w:lang w:val="en-GB" w:eastAsia="ja-JP"/>
        </w:rPr>
        <w:t>) No 966/2012 of the European Parliament and of the Council on the financial rules applicable to the general budget of the Union;</w:t>
      </w:r>
    </w:p>
    <w:p w:rsidR="00585E1F" w:rsidRPr="00A24A24" w:rsidRDefault="00585E1F" w:rsidP="00E45CE6">
      <w:pPr>
        <w:widowControl/>
        <w:numPr>
          <w:ilvl w:val="0"/>
          <w:numId w:val="7"/>
        </w:numPr>
        <w:spacing w:before="0" w:after="0"/>
        <w:rPr>
          <w:sz w:val="22"/>
          <w:szCs w:val="22"/>
          <w:lang w:val="en-GB" w:eastAsia="ja-JP"/>
        </w:rPr>
      </w:pPr>
      <w:r w:rsidRPr="00A24A24">
        <w:rPr>
          <w:sz w:val="22"/>
          <w:szCs w:val="22"/>
          <w:lang w:val="en-GB" w:eastAsia="ja-JP"/>
        </w:rPr>
        <w:t xml:space="preserve">Regulation (EU, EURATOM) 2015/1929 of the </w:t>
      </w:r>
      <w:proofErr w:type="spellStart"/>
      <w:r w:rsidRPr="00A24A24">
        <w:rPr>
          <w:sz w:val="22"/>
          <w:szCs w:val="22"/>
          <w:lang w:val="en-GB" w:eastAsia="ja-JP"/>
        </w:rPr>
        <w:t>Еuropean</w:t>
      </w:r>
      <w:proofErr w:type="spellEnd"/>
      <w:r w:rsidRPr="00A24A24">
        <w:rPr>
          <w:sz w:val="22"/>
          <w:szCs w:val="22"/>
          <w:lang w:val="en-GB" w:eastAsia="ja-JP"/>
        </w:rPr>
        <w:t xml:space="preserve"> Parliament and of the Council of 28 October 2015 amending Regulation (EU, </w:t>
      </w:r>
      <w:proofErr w:type="spellStart"/>
      <w:r w:rsidRPr="00A24A24">
        <w:rPr>
          <w:sz w:val="22"/>
          <w:szCs w:val="22"/>
          <w:lang w:val="en-GB" w:eastAsia="ja-JP"/>
        </w:rPr>
        <w:t>Euratom</w:t>
      </w:r>
      <w:proofErr w:type="spellEnd"/>
      <w:r w:rsidRPr="00A24A24">
        <w:rPr>
          <w:sz w:val="22"/>
          <w:szCs w:val="22"/>
          <w:lang w:val="en-GB" w:eastAsia="ja-JP"/>
        </w:rPr>
        <w:t xml:space="preserve">) No 966/2012 on the financial rules applicable to the general budget of the Union; Commission Delegated Regulation (EU) 2015/2462 of 30 October 2015 amending Delegated Regulation (EU) No 1268/2012 on the rules of application of Regulation (EU, </w:t>
      </w:r>
      <w:proofErr w:type="spellStart"/>
      <w:r w:rsidRPr="00A24A24">
        <w:rPr>
          <w:sz w:val="22"/>
          <w:szCs w:val="22"/>
          <w:lang w:val="en-GB" w:eastAsia="ja-JP"/>
        </w:rPr>
        <w:t>Euratom</w:t>
      </w:r>
      <w:proofErr w:type="spellEnd"/>
      <w:r w:rsidRPr="00A24A24">
        <w:rPr>
          <w:sz w:val="22"/>
          <w:szCs w:val="22"/>
          <w:lang w:val="en-GB" w:eastAsia="ja-JP"/>
        </w:rPr>
        <w:t>) No 966/2012 of the European Parliament and of the Council on the financial rules applicable to the general budget of the Union.</w:t>
      </w:r>
    </w:p>
    <w:p w:rsidR="00585E1F" w:rsidRPr="00A24A24" w:rsidRDefault="00585E1F" w:rsidP="00E45CE6">
      <w:pPr>
        <w:keepNext/>
        <w:keepLines/>
        <w:widowControl/>
        <w:numPr>
          <w:ilvl w:val="0"/>
          <w:numId w:val="7"/>
        </w:numPr>
        <w:spacing w:before="120" w:after="0"/>
        <w:jc w:val="both"/>
        <w:rPr>
          <w:sz w:val="22"/>
          <w:szCs w:val="22"/>
          <w:lang w:val="en-GB" w:eastAsia="ja-JP"/>
        </w:rPr>
      </w:pPr>
      <w:r w:rsidRPr="00A24A24">
        <w:rPr>
          <w:sz w:val="22"/>
          <w:szCs w:val="22"/>
          <w:lang w:val="en-GB" w:eastAsia="ja-JP"/>
        </w:rPr>
        <w:t xml:space="preserve">The </w:t>
      </w:r>
      <w:proofErr w:type="spellStart"/>
      <w:r w:rsidRPr="00A24A24">
        <w:rPr>
          <w:sz w:val="22"/>
          <w:szCs w:val="22"/>
          <w:lang w:val="en-GB" w:eastAsia="ja-JP"/>
        </w:rPr>
        <w:t>Interreg</w:t>
      </w:r>
      <w:proofErr w:type="spellEnd"/>
      <w:r w:rsidRPr="00A24A24">
        <w:rPr>
          <w:sz w:val="22"/>
          <w:szCs w:val="22"/>
          <w:lang w:val="en-GB" w:eastAsia="ja-JP"/>
        </w:rPr>
        <w:t xml:space="preserve"> – IPA CBC Bulgaria – Serbia Programme, with programme reference number 2014TC16I5CB007, approved by the European Commission with Decision C(2015) 5444 of 30.07.2015, amended with Decisions No. </w:t>
      </w:r>
      <w:proofErr w:type="gramStart"/>
      <w:r w:rsidRPr="00A24A24">
        <w:rPr>
          <w:sz w:val="22"/>
          <w:szCs w:val="22"/>
          <w:lang w:val="en-GB" w:eastAsia="ja-JP"/>
        </w:rPr>
        <w:t>C(</w:t>
      </w:r>
      <w:proofErr w:type="gramEnd"/>
      <w:r w:rsidRPr="00A24A24">
        <w:rPr>
          <w:sz w:val="22"/>
          <w:szCs w:val="22"/>
          <w:lang w:val="en-GB" w:eastAsia="ja-JP"/>
        </w:rPr>
        <w:t>2016) 2853 of 04.05.2016 and No. C(2016) 8643 of 13.12.2016;</w:t>
      </w:r>
    </w:p>
    <w:p w:rsidR="00585E1F" w:rsidRPr="00A24A24" w:rsidRDefault="00585E1F" w:rsidP="00E45CE6">
      <w:pPr>
        <w:keepNext/>
        <w:keepLines/>
        <w:widowControl/>
        <w:numPr>
          <w:ilvl w:val="0"/>
          <w:numId w:val="7"/>
        </w:numPr>
        <w:spacing w:before="120" w:after="0"/>
        <w:jc w:val="both"/>
        <w:rPr>
          <w:sz w:val="22"/>
          <w:szCs w:val="22"/>
          <w:lang w:val="en-GB" w:eastAsia="ja-JP"/>
        </w:rPr>
      </w:pPr>
      <w:r w:rsidRPr="00A24A24">
        <w:rPr>
          <w:sz w:val="22"/>
          <w:szCs w:val="22"/>
          <w:lang w:val="en-GB" w:eastAsia="ja-JP"/>
        </w:rPr>
        <w:t>Financing Agreement between the Republic of Serbia and European Commission for the Programme;</w:t>
      </w:r>
    </w:p>
    <w:p w:rsidR="00585E1F" w:rsidRPr="00A24A24" w:rsidRDefault="00585E1F" w:rsidP="00E45CE6">
      <w:pPr>
        <w:keepNext/>
        <w:keepLines/>
        <w:widowControl/>
        <w:numPr>
          <w:ilvl w:val="0"/>
          <w:numId w:val="5"/>
        </w:numPr>
        <w:tabs>
          <w:tab w:val="right" w:pos="8640"/>
        </w:tabs>
        <w:spacing w:before="120" w:after="0"/>
        <w:jc w:val="both"/>
        <w:rPr>
          <w:sz w:val="22"/>
          <w:szCs w:val="22"/>
          <w:lang w:val="en-GB" w:eastAsia="ja-JP"/>
        </w:rPr>
      </w:pPr>
      <w:r w:rsidRPr="00A24A24">
        <w:rPr>
          <w:sz w:val="22"/>
          <w:szCs w:val="22"/>
          <w:lang w:val="en-GB" w:eastAsia="ja-JP"/>
        </w:rPr>
        <w:t xml:space="preserve">Memorandum on Implementation of </w:t>
      </w:r>
      <w:proofErr w:type="spellStart"/>
      <w:r w:rsidRPr="00A24A24">
        <w:rPr>
          <w:sz w:val="22"/>
          <w:szCs w:val="22"/>
          <w:lang w:val="en-GB" w:eastAsia="ja-JP"/>
        </w:rPr>
        <w:t>Interreg</w:t>
      </w:r>
      <w:proofErr w:type="spellEnd"/>
      <w:r w:rsidRPr="00A24A24">
        <w:rPr>
          <w:sz w:val="22"/>
          <w:szCs w:val="22"/>
          <w:lang w:val="en-GB" w:eastAsia="ja-JP"/>
        </w:rPr>
        <w:t xml:space="preserve"> – IPA Cross-Border Cooperation Programme CCI Number: 2014TC16I5CB007 between the Government of the Republic of Bulgaria and the Government of the Republic of Serbia;</w:t>
      </w:r>
    </w:p>
    <w:p w:rsidR="00585E1F" w:rsidRPr="00A24A24" w:rsidRDefault="00585E1F" w:rsidP="00E45CE6">
      <w:pPr>
        <w:keepNext/>
        <w:keepLines/>
        <w:widowControl/>
        <w:numPr>
          <w:ilvl w:val="0"/>
          <w:numId w:val="5"/>
        </w:numPr>
        <w:tabs>
          <w:tab w:val="right" w:pos="8640"/>
        </w:tabs>
        <w:spacing w:before="120" w:after="0"/>
        <w:jc w:val="both"/>
        <w:rPr>
          <w:sz w:val="22"/>
          <w:szCs w:val="22"/>
          <w:lang w:val="en-GB" w:eastAsia="ja-JP"/>
        </w:rPr>
      </w:pPr>
      <w:r w:rsidRPr="00A24A24">
        <w:rPr>
          <w:sz w:val="22"/>
          <w:szCs w:val="22"/>
          <w:lang w:val="en-GB" w:eastAsia="ja-JP"/>
        </w:rPr>
        <w:t>Decision No 156 of 21 March 2014 of the Council of Ministers of the Republic of Bulgaria for designation of the Managing Authority, the Audit Authority and the Certifying Authority and Decision No 679 of 11 August 2016 of the Council of Ministers of the Republic of Bulgaria for designation of the Managing Authority and the Certifying Authority;</w:t>
      </w:r>
    </w:p>
    <w:p w:rsidR="00585E1F" w:rsidRPr="00A24A24" w:rsidRDefault="00585E1F" w:rsidP="00585E1F">
      <w:pPr>
        <w:keepNext/>
        <w:shd w:val="clear" w:color="auto" w:fill="FFFFFF"/>
        <w:jc w:val="both"/>
        <w:rPr>
          <w:sz w:val="22"/>
          <w:szCs w:val="22"/>
          <w:lang w:val="en-GB" w:eastAsia="ja-JP"/>
        </w:rPr>
      </w:pPr>
      <w:proofErr w:type="gramStart"/>
      <w:r w:rsidRPr="00A24A24">
        <w:rPr>
          <w:sz w:val="22"/>
          <w:szCs w:val="22"/>
          <w:lang w:val="en-GB" w:eastAsia="ja-JP"/>
        </w:rPr>
        <w:t>and</w:t>
      </w:r>
      <w:proofErr w:type="gramEnd"/>
      <w:r w:rsidRPr="00A24A24">
        <w:rPr>
          <w:sz w:val="22"/>
          <w:szCs w:val="22"/>
          <w:lang w:val="en-GB" w:eastAsia="ja-JP"/>
        </w:rPr>
        <w:t xml:space="preserve"> in compliance with:</w:t>
      </w:r>
    </w:p>
    <w:p w:rsidR="00585E1F" w:rsidRPr="00D14683" w:rsidRDefault="00585E1F" w:rsidP="00E45CE6">
      <w:pPr>
        <w:keepNext/>
        <w:numPr>
          <w:ilvl w:val="0"/>
          <w:numId w:val="6"/>
        </w:numPr>
        <w:shd w:val="clear" w:color="auto" w:fill="FFFFFF"/>
        <w:spacing w:before="0" w:after="0"/>
        <w:jc w:val="both"/>
        <w:rPr>
          <w:sz w:val="22"/>
          <w:szCs w:val="22"/>
          <w:lang w:val="en-GB" w:eastAsia="ja-JP"/>
        </w:rPr>
      </w:pPr>
      <w:r w:rsidRPr="00A24A24">
        <w:rPr>
          <w:sz w:val="22"/>
          <w:szCs w:val="22"/>
          <w:lang w:val="en-GB" w:eastAsia="ja-JP"/>
        </w:rPr>
        <w:t>Second Call for Proposals and the respective Guidelines for Applicants’ Package.</w:t>
      </w:r>
    </w:p>
    <w:p w:rsidR="00585E1F" w:rsidRDefault="00585E1F" w:rsidP="00E9047D">
      <w:pPr>
        <w:pStyle w:val="Blockquote"/>
        <w:jc w:val="both"/>
        <w:rPr>
          <w:sz w:val="22"/>
          <w:szCs w:val="22"/>
          <w:lang w:val="en-GB"/>
        </w:rPr>
      </w:pPr>
    </w:p>
    <w:p w:rsidR="00E9047D" w:rsidRPr="00F9055E" w:rsidRDefault="00C0772E" w:rsidP="00E9047D">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rsidR="007F6AA9" w:rsidRPr="00F9055E" w:rsidRDefault="008D59DC" w:rsidP="00235A71">
      <w:pPr>
        <w:pStyle w:val="Blockquote"/>
        <w:jc w:val="both"/>
        <w:rPr>
          <w:sz w:val="22"/>
          <w:szCs w:val="22"/>
          <w:lang w:val="en-GB"/>
        </w:rPr>
      </w:pPr>
      <w:r>
        <w:rPr>
          <w:sz w:val="22"/>
          <w:szCs w:val="22"/>
          <w:lang w:val="en-GB"/>
        </w:rPr>
        <w:t>None.</w:t>
      </w:r>
    </w:p>
    <w:sectPr w:rsidR="007F6AA9" w:rsidRPr="00F9055E" w:rsidSect="00E147D3">
      <w:footerReference w:type="default" r:id="rId10"/>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CE6" w:rsidRDefault="00E45CE6">
      <w:r>
        <w:separator/>
      </w:r>
    </w:p>
  </w:endnote>
  <w:endnote w:type="continuationSeparator" w:id="0">
    <w:p w:rsidR="00E45CE6" w:rsidRDefault="00E45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A8C" w:rsidRPr="00B33EE6" w:rsidRDefault="00BE5F29" w:rsidP="00F9055E">
    <w:pPr>
      <w:pStyle w:val="Footer"/>
      <w:tabs>
        <w:tab w:val="clear" w:pos="4320"/>
        <w:tab w:val="clear" w:pos="8640"/>
        <w:tab w:val="right" w:pos="9214"/>
      </w:tabs>
      <w:spacing w:before="120" w:after="0"/>
      <w:rPr>
        <w:b/>
        <w:sz w:val="20"/>
        <w:lang w:val="en-GB"/>
      </w:rPr>
    </w:pPr>
    <w:r>
      <w:rPr>
        <w:b/>
        <w:sz w:val="20"/>
      </w:rPr>
      <w:t>July</w:t>
    </w:r>
    <w:r w:rsidR="00954FB8" w:rsidRPr="002A00A4">
      <w:rPr>
        <w:b/>
        <w:sz w:val="20"/>
      </w:rPr>
      <w:t xml:space="preserve"> 201</w:t>
    </w:r>
    <w:r>
      <w:rPr>
        <w:sz w:val="20"/>
      </w:rPr>
      <w:t>9</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0A5769">
      <w:rPr>
        <w:rStyle w:val="PageNumber"/>
        <w:noProof/>
        <w:sz w:val="18"/>
        <w:szCs w:val="18"/>
        <w:lang w:val="en-GB"/>
      </w:rPr>
      <w:t>5</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0A5769">
      <w:rPr>
        <w:rStyle w:val="PageNumber"/>
        <w:noProof/>
        <w:sz w:val="18"/>
        <w:szCs w:val="18"/>
        <w:lang w:val="en-GB"/>
      </w:rPr>
      <w:t>5</w:t>
    </w:r>
    <w:r w:rsidR="00B33EE6" w:rsidRPr="00B33EE6">
      <w:rPr>
        <w:rStyle w:val="PageNumber"/>
        <w:sz w:val="18"/>
        <w:szCs w:val="18"/>
        <w:lang w:val="en-GB"/>
      </w:rPr>
      <w:fldChar w:fldCharType="end"/>
    </w:r>
  </w:p>
  <w:p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CE6" w:rsidRDefault="00E45CE6">
      <w:r>
        <w:separator/>
      </w:r>
    </w:p>
  </w:footnote>
  <w:footnote w:type="continuationSeparator" w:id="0">
    <w:p w:rsidR="00E45CE6" w:rsidRDefault="00E45C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4A641F"/>
    <w:multiLevelType w:val="hybridMultilevel"/>
    <w:tmpl w:val="9230D9C4"/>
    <w:lvl w:ilvl="0" w:tplc="241A0001">
      <w:start w:val="1"/>
      <w:numFmt w:val="bullet"/>
      <w:lvlText w:val=""/>
      <w:lvlJc w:val="left"/>
      <w:pPr>
        <w:ind w:left="1146" w:hanging="360"/>
      </w:pPr>
      <w:rPr>
        <w:rFonts w:ascii="Symbol" w:hAnsi="Symbol" w:hint="default"/>
      </w:rPr>
    </w:lvl>
    <w:lvl w:ilvl="1" w:tplc="241A0003" w:tentative="1">
      <w:start w:val="1"/>
      <w:numFmt w:val="bullet"/>
      <w:lvlText w:val="o"/>
      <w:lvlJc w:val="left"/>
      <w:pPr>
        <w:ind w:left="1866" w:hanging="360"/>
      </w:pPr>
      <w:rPr>
        <w:rFonts w:ascii="Courier New" w:hAnsi="Courier New" w:cs="Courier New" w:hint="default"/>
      </w:rPr>
    </w:lvl>
    <w:lvl w:ilvl="2" w:tplc="241A0005" w:tentative="1">
      <w:start w:val="1"/>
      <w:numFmt w:val="bullet"/>
      <w:lvlText w:val=""/>
      <w:lvlJc w:val="left"/>
      <w:pPr>
        <w:ind w:left="2586" w:hanging="360"/>
      </w:pPr>
      <w:rPr>
        <w:rFonts w:ascii="Wingdings" w:hAnsi="Wingdings" w:hint="default"/>
      </w:rPr>
    </w:lvl>
    <w:lvl w:ilvl="3" w:tplc="241A0001" w:tentative="1">
      <w:start w:val="1"/>
      <w:numFmt w:val="bullet"/>
      <w:lvlText w:val=""/>
      <w:lvlJc w:val="left"/>
      <w:pPr>
        <w:ind w:left="3306" w:hanging="360"/>
      </w:pPr>
      <w:rPr>
        <w:rFonts w:ascii="Symbol" w:hAnsi="Symbol" w:hint="default"/>
      </w:rPr>
    </w:lvl>
    <w:lvl w:ilvl="4" w:tplc="241A0003" w:tentative="1">
      <w:start w:val="1"/>
      <w:numFmt w:val="bullet"/>
      <w:lvlText w:val="o"/>
      <w:lvlJc w:val="left"/>
      <w:pPr>
        <w:ind w:left="4026" w:hanging="360"/>
      </w:pPr>
      <w:rPr>
        <w:rFonts w:ascii="Courier New" w:hAnsi="Courier New" w:cs="Courier New" w:hint="default"/>
      </w:rPr>
    </w:lvl>
    <w:lvl w:ilvl="5" w:tplc="241A0005" w:tentative="1">
      <w:start w:val="1"/>
      <w:numFmt w:val="bullet"/>
      <w:lvlText w:val=""/>
      <w:lvlJc w:val="left"/>
      <w:pPr>
        <w:ind w:left="4746" w:hanging="360"/>
      </w:pPr>
      <w:rPr>
        <w:rFonts w:ascii="Wingdings" w:hAnsi="Wingdings" w:hint="default"/>
      </w:rPr>
    </w:lvl>
    <w:lvl w:ilvl="6" w:tplc="241A0001" w:tentative="1">
      <w:start w:val="1"/>
      <w:numFmt w:val="bullet"/>
      <w:lvlText w:val=""/>
      <w:lvlJc w:val="left"/>
      <w:pPr>
        <w:ind w:left="5466" w:hanging="360"/>
      </w:pPr>
      <w:rPr>
        <w:rFonts w:ascii="Symbol" w:hAnsi="Symbol" w:hint="default"/>
      </w:rPr>
    </w:lvl>
    <w:lvl w:ilvl="7" w:tplc="241A0003" w:tentative="1">
      <w:start w:val="1"/>
      <w:numFmt w:val="bullet"/>
      <w:lvlText w:val="o"/>
      <w:lvlJc w:val="left"/>
      <w:pPr>
        <w:ind w:left="6186" w:hanging="360"/>
      </w:pPr>
      <w:rPr>
        <w:rFonts w:ascii="Courier New" w:hAnsi="Courier New" w:cs="Courier New" w:hint="default"/>
      </w:rPr>
    </w:lvl>
    <w:lvl w:ilvl="8" w:tplc="241A0005" w:tentative="1">
      <w:start w:val="1"/>
      <w:numFmt w:val="bullet"/>
      <w:lvlText w:val=""/>
      <w:lvlJc w:val="left"/>
      <w:pPr>
        <w:ind w:left="6906" w:hanging="360"/>
      </w:pPr>
      <w:rPr>
        <w:rFonts w:ascii="Wingdings" w:hAnsi="Wingdings" w:hint="default"/>
      </w:rPr>
    </w:lvl>
  </w:abstractNum>
  <w:abstractNum w:abstractNumId="1">
    <w:nsid w:val="18B20E86"/>
    <w:multiLevelType w:val="hybridMultilevel"/>
    <w:tmpl w:val="ABFC82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E486141"/>
    <w:multiLevelType w:val="hybridMultilevel"/>
    <w:tmpl w:val="65C24C44"/>
    <w:lvl w:ilvl="0" w:tplc="E620E82C">
      <w:start w:val="1"/>
      <w:numFmt w:val="decimal"/>
      <w:lvlText w:val="%1)"/>
      <w:lvlJc w:val="left"/>
      <w:pPr>
        <w:ind w:left="717" w:hanging="360"/>
      </w:pPr>
      <w:rPr>
        <w:rFonts w:hint="default"/>
        <w:b/>
        <w:u w:val="singl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3FA72428"/>
    <w:multiLevelType w:val="hybridMultilevel"/>
    <w:tmpl w:val="A7DE95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02B653B"/>
    <w:multiLevelType w:val="hybridMultilevel"/>
    <w:tmpl w:val="985457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2"/>
  </w:num>
  <w:num w:numId="4">
    <w:abstractNumId w:val="4"/>
  </w:num>
  <w:num w:numId="5">
    <w:abstractNumId w:val="7"/>
  </w:num>
  <w:num w:numId="6">
    <w:abstractNumId w:val="1"/>
  </w:num>
  <w:num w:numId="7">
    <w:abstractNumId w:val="5"/>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87A72"/>
    <w:rsid w:val="00095030"/>
    <w:rsid w:val="000A0D57"/>
    <w:rsid w:val="000A3758"/>
    <w:rsid w:val="000A5769"/>
    <w:rsid w:val="000B693E"/>
    <w:rsid w:val="000B7C91"/>
    <w:rsid w:val="000C1101"/>
    <w:rsid w:val="000C1522"/>
    <w:rsid w:val="000D1732"/>
    <w:rsid w:val="000D3EBF"/>
    <w:rsid w:val="000E4709"/>
    <w:rsid w:val="000E605C"/>
    <w:rsid w:val="000F0F6C"/>
    <w:rsid w:val="000F1340"/>
    <w:rsid w:val="000F5DEF"/>
    <w:rsid w:val="0010162C"/>
    <w:rsid w:val="00105302"/>
    <w:rsid w:val="00142154"/>
    <w:rsid w:val="0014405E"/>
    <w:rsid w:val="00145CFA"/>
    <w:rsid w:val="00150687"/>
    <w:rsid w:val="001661F7"/>
    <w:rsid w:val="00171F2E"/>
    <w:rsid w:val="00180D47"/>
    <w:rsid w:val="001903F3"/>
    <w:rsid w:val="001951FE"/>
    <w:rsid w:val="001A59BB"/>
    <w:rsid w:val="001B2571"/>
    <w:rsid w:val="001C21A2"/>
    <w:rsid w:val="001C64F1"/>
    <w:rsid w:val="001C75E4"/>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37D54"/>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2EF4"/>
    <w:rsid w:val="003232ED"/>
    <w:rsid w:val="00323BDD"/>
    <w:rsid w:val="003262FC"/>
    <w:rsid w:val="00330261"/>
    <w:rsid w:val="003378F6"/>
    <w:rsid w:val="00340436"/>
    <w:rsid w:val="00342E7F"/>
    <w:rsid w:val="00347673"/>
    <w:rsid w:val="003574F5"/>
    <w:rsid w:val="00357E25"/>
    <w:rsid w:val="00361C17"/>
    <w:rsid w:val="00362824"/>
    <w:rsid w:val="00364564"/>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3F6EEB"/>
    <w:rsid w:val="0040360C"/>
    <w:rsid w:val="004108A4"/>
    <w:rsid w:val="00424124"/>
    <w:rsid w:val="0043533D"/>
    <w:rsid w:val="00452ED8"/>
    <w:rsid w:val="0045494F"/>
    <w:rsid w:val="004567DF"/>
    <w:rsid w:val="00472630"/>
    <w:rsid w:val="00473883"/>
    <w:rsid w:val="00476D80"/>
    <w:rsid w:val="004815A4"/>
    <w:rsid w:val="004850B4"/>
    <w:rsid w:val="004901C2"/>
    <w:rsid w:val="004957E5"/>
    <w:rsid w:val="004C21CC"/>
    <w:rsid w:val="004C49B2"/>
    <w:rsid w:val="004D031B"/>
    <w:rsid w:val="004D3708"/>
    <w:rsid w:val="004D5EDB"/>
    <w:rsid w:val="004E083B"/>
    <w:rsid w:val="004E1482"/>
    <w:rsid w:val="004E30B6"/>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5A69"/>
    <w:rsid w:val="00571687"/>
    <w:rsid w:val="00572F15"/>
    <w:rsid w:val="00573F7A"/>
    <w:rsid w:val="00584BF4"/>
    <w:rsid w:val="00584D96"/>
    <w:rsid w:val="00585E1F"/>
    <w:rsid w:val="00590ADB"/>
    <w:rsid w:val="005A21DC"/>
    <w:rsid w:val="005B35A2"/>
    <w:rsid w:val="005B4F80"/>
    <w:rsid w:val="005B5E3C"/>
    <w:rsid w:val="005D41DD"/>
    <w:rsid w:val="005D445E"/>
    <w:rsid w:val="005F776D"/>
    <w:rsid w:val="0060359F"/>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B5ACA"/>
    <w:rsid w:val="006C0CC3"/>
    <w:rsid w:val="006C0EB6"/>
    <w:rsid w:val="006C0F37"/>
    <w:rsid w:val="006D330F"/>
    <w:rsid w:val="006D6080"/>
    <w:rsid w:val="006E3377"/>
    <w:rsid w:val="006E625F"/>
    <w:rsid w:val="006E793A"/>
    <w:rsid w:val="006F0C91"/>
    <w:rsid w:val="006F5FD0"/>
    <w:rsid w:val="006F7885"/>
    <w:rsid w:val="007046C8"/>
    <w:rsid w:val="00706E7C"/>
    <w:rsid w:val="00710A38"/>
    <w:rsid w:val="007121FB"/>
    <w:rsid w:val="007129D6"/>
    <w:rsid w:val="00712CB3"/>
    <w:rsid w:val="00715755"/>
    <w:rsid w:val="007471C5"/>
    <w:rsid w:val="00750FF8"/>
    <w:rsid w:val="00753FC2"/>
    <w:rsid w:val="00756C38"/>
    <w:rsid w:val="007573F3"/>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5EC1"/>
    <w:rsid w:val="007D6292"/>
    <w:rsid w:val="007D761E"/>
    <w:rsid w:val="007F095B"/>
    <w:rsid w:val="007F26E3"/>
    <w:rsid w:val="007F5383"/>
    <w:rsid w:val="007F6AA9"/>
    <w:rsid w:val="008006B4"/>
    <w:rsid w:val="00800827"/>
    <w:rsid w:val="00810582"/>
    <w:rsid w:val="00813A48"/>
    <w:rsid w:val="0081406F"/>
    <w:rsid w:val="008152EF"/>
    <w:rsid w:val="008162F6"/>
    <w:rsid w:val="00817895"/>
    <w:rsid w:val="00817B4A"/>
    <w:rsid w:val="00820404"/>
    <w:rsid w:val="008272C0"/>
    <w:rsid w:val="008323D3"/>
    <w:rsid w:val="008351FF"/>
    <w:rsid w:val="00862885"/>
    <w:rsid w:val="00864354"/>
    <w:rsid w:val="0087086B"/>
    <w:rsid w:val="00881C2D"/>
    <w:rsid w:val="00894E29"/>
    <w:rsid w:val="0089693D"/>
    <w:rsid w:val="008A1514"/>
    <w:rsid w:val="008B0830"/>
    <w:rsid w:val="008B77CD"/>
    <w:rsid w:val="008C3178"/>
    <w:rsid w:val="008C68A0"/>
    <w:rsid w:val="008D1243"/>
    <w:rsid w:val="008D3E45"/>
    <w:rsid w:val="008D59DC"/>
    <w:rsid w:val="008E2D12"/>
    <w:rsid w:val="008F294D"/>
    <w:rsid w:val="009055F3"/>
    <w:rsid w:val="009066B6"/>
    <w:rsid w:val="00907556"/>
    <w:rsid w:val="00907E7E"/>
    <w:rsid w:val="00913817"/>
    <w:rsid w:val="00925F7F"/>
    <w:rsid w:val="009260B8"/>
    <w:rsid w:val="0092731B"/>
    <w:rsid w:val="009317C0"/>
    <w:rsid w:val="009352F4"/>
    <w:rsid w:val="00940E1D"/>
    <w:rsid w:val="009510CB"/>
    <w:rsid w:val="00952960"/>
    <w:rsid w:val="00954FB8"/>
    <w:rsid w:val="00956BA0"/>
    <w:rsid w:val="009701F5"/>
    <w:rsid w:val="009707C4"/>
    <w:rsid w:val="00970A93"/>
    <w:rsid w:val="00970B01"/>
    <w:rsid w:val="00971962"/>
    <w:rsid w:val="00971CC5"/>
    <w:rsid w:val="00980AEA"/>
    <w:rsid w:val="00991002"/>
    <w:rsid w:val="00994EA3"/>
    <w:rsid w:val="009973A3"/>
    <w:rsid w:val="009A38DE"/>
    <w:rsid w:val="009B06B5"/>
    <w:rsid w:val="009B48E8"/>
    <w:rsid w:val="009B69BE"/>
    <w:rsid w:val="009E5BC1"/>
    <w:rsid w:val="009F128B"/>
    <w:rsid w:val="009F5FB4"/>
    <w:rsid w:val="00A00BD5"/>
    <w:rsid w:val="00A021B5"/>
    <w:rsid w:val="00A02E6B"/>
    <w:rsid w:val="00A03055"/>
    <w:rsid w:val="00A046E7"/>
    <w:rsid w:val="00A04B00"/>
    <w:rsid w:val="00A11931"/>
    <w:rsid w:val="00A171EA"/>
    <w:rsid w:val="00A22177"/>
    <w:rsid w:val="00A236A4"/>
    <w:rsid w:val="00A36F1C"/>
    <w:rsid w:val="00A433A6"/>
    <w:rsid w:val="00A43E7A"/>
    <w:rsid w:val="00A45BCF"/>
    <w:rsid w:val="00A46ED3"/>
    <w:rsid w:val="00A504E1"/>
    <w:rsid w:val="00A666EC"/>
    <w:rsid w:val="00A779FE"/>
    <w:rsid w:val="00A77B07"/>
    <w:rsid w:val="00A84E04"/>
    <w:rsid w:val="00A85E8A"/>
    <w:rsid w:val="00A94ED6"/>
    <w:rsid w:val="00A95439"/>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7B3"/>
    <w:rsid w:val="00B33EE6"/>
    <w:rsid w:val="00B46840"/>
    <w:rsid w:val="00B503CB"/>
    <w:rsid w:val="00B50F8D"/>
    <w:rsid w:val="00B60EC5"/>
    <w:rsid w:val="00B738A7"/>
    <w:rsid w:val="00B7586A"/>
    <w:rsid w:val="00B766F9"/>
    <w:rsid w:val="00B805A5"/>
    <w:rsid w:val="00B83DA1"/>
    <w:rsid w:val="00B84AED"/>
    <w:rsid w:val="00B90EE0"/>
    <w:rsid w:val="00B92478"/>
    <w:rsid w:val="00B932B3"/>
    <w:rsid w:val="00BA0765"/>
    <w:rsid w:val="00BA44A3"/>
    <w:rsid w:val="00BA7C3E"/>
    <w:rsid w:val="00BB2689"/>
    <w:rsid w:val="00BC353E"/>
    <w:rsid w:val="00BD65BA"/>
    <w:rsid w:val="00BE08EC"/>
    <w:rsid w:val="00BE3544"/>
    <w:rsid w:val="00BE595A"/>
    <w:rsid w:val="00BE5F29"/>
    <w:rsid w:val="00BE783C"/>
    <w:rsid w:val="00C00D44"/>
    <w:rsid w:val="00C03AF5"/>
    <w:rsid w:val="00C04FCE"/>
    <w:rsid w:val="00C0772E"/>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5FC4"/>
    <w:rsid w:val="00C867B9"/>
    <w:rsid w:val="00CA3B1B"/>
    <w:rsid w:val="00CB23E3"/>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29EA"/>
    <w:rsid w:val="00D240C3"/>
    <w:rsid w:val="00D2786B"/>
    <w:rsid w:val="00D32849"/>
    <w:rsid w:val="00D33DD9"/>
    <w:rsid w:val="00D434A7"/>
    <w:rsid w:val="00D46724"/>
    <w:rsid w:val="00D517A4"/>
    <w:rsid w:val="00D51C7E"/>
    <w:rsid w:val="00D549F4"/>
    <w:rsid w:val="00D64101"/>
    <w:rsid w:val="00D8773C"/>
    <w:rsid w:val="00D93082"/>
    <w:rsid w:val="00DA0ABA"/>
    <w:rsid w:val="00DC0253"/>
    <w:rsid w:val="00DC1329"/>
    <w:rsid w:val="00DC4F70"/>
    <w:rsid w:val="00DC753D"/>
    <w:rsid w:val="00DD0CD4"/>
    <w:rsid w:val="00DF04F0"/>
    <w:rsid w:val="00E0156B"/>
    <w:rsid w:val="00E147D3"/>
    <w:rsid w:val="00E1782A"/>
    <w:rsid w:val="00E21BC3"/>
    <w:rsid w:val="00E23A94"/>
    <w:rsid w:val="00E30BB5"/>
    <w:rsid w:val="00E31447"/>
    <w:rsid w:val="00E422A2"/>
    <w:rsid w:val="00E45CE6"/>
    <w:rsid w:val="00E5220B"/>
    <w:rsid w:val="00E6172B"/>
    <w:rsid w:val="00E66A55"/>
    <w:rsid w:val="00E713DA"/>
    <w:rsid w:val="00E72176"/>
    <w:rsid w:val="00E813B7"/>
    <w:rsid w:val="00E82874"/>
    <w:rsid w:val="00E845AC"/>
    <w:rsid w:val="00E867FC"/>
    <w:rsid w:val="00E9047D"/>
    <w:rsid w:val="00EA399C"/>
    <w:rsid w:val="00EA5F3E"/>
    <w:rsid w:val="00EB4C19"/>
    <w:rsid w:val="00EC6C3C"/>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54865"/>
    <w:rsid w:val="00F60220"/>
    <w:rsid w:val="00F77C8A"/>
    <w:rsid w:val="00F86D50"/>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2"/>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paragraph" w:styleId="ListParagraph">
    <w:name w:val="List Paragraph"/>
    <w:basedOn w:val="Normal"/>
    <w:uiPriority w:val="34"/>
    <w:qFormat/>
    <w:rsid w:val="00DC13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807287656">
      <w:bodyDiv w:val="1"/>
      <w:marLeft w:val="0"/>
      <w:marRight w:val="0"/>
      <w:marTop w:val="0"/>
      <w:marBottom w:val="0"/>
      <w:divBdr>
        <w:top w:val="none" w:sz="0" w:space="0" w:color="auto"/>
        <w:left w:val="none" w:sz="0" w:space="0" w:color="auto"/>
        <w:bottom w:val="none" w:sz="0" w:space="0" w:color="auto"/>
        <w:right w:val="none" w:sz="0" w:space="0" w:color="auto"/>
      </w:divBdr>
    </w:div>
    <w:div w:id="923759006">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20902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80345-5639-4CDD-B145-6E93560ED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1979</Words>
  <Characters>11284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13237</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KORISNIK</cp:lastModifiedBy>
  <cp:revision>35</cp:revision>
  <cp:lastPrinted>2016-05-31T08:36:00Z</cp:lastPrinted>
  <dcterms:created xsi:type="dcterms:W3CDTF">2020-05-29T11:08:00Z</dcterms:created>
  <dcterms:modified xsi:type="dcterms:W3CDTF">2020-06-22T08:41:00Z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