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FC24A4" w:rsidRPr="00FC24A4" w:rsidRDefault="00FC24A4" w:rsidP="00FC24A4">
      <w:pPr>
        <w:numPr>
          <w:ilvl w:val="1"/>
          <w:numId w:val="12"/>
        </w:numPr>
        <w:spacing w:before="120" w:after="120"/>
        <w:rPr>
          <w:sz w:val="22"/>
          <w:szCs w:val="22"/>
        </w:rPr>
      </w:pPr>
      <w:r w:rsidRPr="00FC24A4">
        <w:rPr>
          <w:sz w:val="22"/>
          <w:szCs w:val="22"/>
        </w:rPr>
        <w:t xml:space="preserve">Contracting authority: </w:t>
      </w:r>
      <w:r w:rsidRPr="00FC24A4">
        <w:rPr>
          <w:sz w:val="22"/>
          <w:szCs w:val="22"/>
          <w:lang w:val="en-US"/>
        </w:rPr>
        <w:t xml:space="preserve">Municipality of </w:t>
      </w:r>
      <w:proofErr w:type="spellStart"/>
      <w:r w:rsidRPr="00FC24A4">
        <w:rPr>
          <w:sz w:val="22"/>
          <w:szCs w:val="22"/>
          <w:lang w:val="en-US"/>
        </w:rPr>
        <w:t>Bojnik</w:t>
      </w:r>
      <w:proofErr w:type="spellEnd"/>
      <w:r w:rsidRPr="00FC24A4">
        <w:rPr>
          <w:sz w:val="22"/>
          <w:szCs w:val="22"/>
          <w:lang w:val="en-US"/>
        </w:rPr>
        <w:t xml:space="preserve">, </w:t>
      </w:r>
      <w:proofErr w:type="spellStart"/>
      <w:r w:rsidRPr="00FC24A4">
        <w:rPr>
          <w:sz w:val="22"/>
          <w:szCs w:val="22"/>
          <w:lang w:val="en-US"/>
        </w:rPr>
        <w:t>Trg</w:t>
      </w:r>
      <w:proofErr w:type="spellEnd"/>
      <w:r w:rsidRPr="00FC24A4">
        <w:rPr>
          <w:sz w:val="22"/>
          <w:szCs w:val="22"/>
          <w:lang w:val="en-US"/>
        </w:rPr>
        <w:t xml:space="preserve"> </w:t>
      </w:r>
      <w:proofErr w:type="spellStart"/>
      <w:r w:rsidRPr="00FC24A4">
        <w:rPr>
          <w:sz w:val="22"/>
          <w:szCs w:val="22"/>
          <w:lang w:val="en-US"/>
        </w:rPr>
        <w:t>slobode</w:t>
      </w:r>
      <w:proofErr w:type="spellEnd"/>
      <w:r w:rsidRPr="00FC24A4">
        <w:rPr>
          <w:sz w:val="22"/>
          <w:szCs w:val="22"/>
          <w:lang w:val="en-US"/>
        </w:rPr>
        <w:t xml:space="preserve"> 2-4, 16205 </w:t>
      </w:r>
      <w:proofErr w:type="spellStart"/>
      <w:r w:rsidRPr="00FC24A4">
        <w:rPr>
          <w:sz w:val="22"/>
          <w:szCs w:val="22"/>
          <w:lang w:val="en-US"/>
        </w:rPr>
        <w:t>Bojnik</w:t>
      </w:r>
      <w:proofErr w:type="spellEnd"/>
      <w:r w:rsidRPr="00FC24A4">
        <w:rPr>
          <w:sz w:val="22"/>
          <w:szCs w:val="22"/>
          <w:lang w:val="en-US"/>
        </w:rPr>
        <w:t>, Se</w:t>
      </w:r>
      <w:r w:rsidR="004D3739">
        <w:rPr>
          <w:sz w:val="22"/>
          <w:szCs w:val="22"/>
          <w:lang w:val="en-US"/>
        </w:rPr>
        <w:t xml:space="preserve">rbia, Project Office, </w:t>
      </w:r>
      <w:proofErr w:type="spellStart"/>
      <w:r w:rsidR="004D3739">
        <w:rPr>
          <w:sz w:val="22"/>
          <w:szCs w:val="22"/>
          <w:lang w:val="en-US"/>
        </w:rPr>
        <w:t>Nebojsa</w:t>
      </w:r>
      <w:proofErr w:type="spellEnd"/>
      <w:r w:rsidR="004D3739">
        <w:rPr>
          <w:sz w:val="22"/>
          <w:szCs w:val="22"/>
          <w:lang w:val="en-US"/>
        </w:rPr>
        <w:t xml:space="preserve"> </w:t>
      </w:r>
      <w:proofErr w:type="spellStart"/>
      <w:r w:rsidR="004D3739">
        <w:rPr>
          <w:sz w:val="22"/>
          <w:szCs w:val="22"/>
          <w:lang w:val="en-US"/>
        </w:rPr>
        <w:t>Stankovic</w:t>
      </w:r>
      <w:proofErr w:type="spellEnd"/>
      <w:r w:rsidRPr="00FC24A4">
        <w:rPr>
          <w:sz w:val="22"/>
          <w:szCs w:val="22"/>
          <w:lang w:val="en-US"/>
        </w:rPr>
        <w:t xml:space="preserve"> – Project Manager, </w:t>
      </w:r>
      <w:hyperlink r:id="rId8" w:history="1">
        <w:r w:rsidRPr="00FC24A4">
          <w:rPr>
            <w:rStyle w:val="Hyperlink"/>
            <w:sz w:val="22"/>
            <w:szCs w:val="22"/>
            <w:lang w:val="en-US"/>
          </w:rPr>
          <w:t>office@bojnik.rs</w:t>
        </w:r>
      </w:hyperlink>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4D3739" w:rsidRPr="004D3739" w:rsidRDefault="004D3739" w:rsidP="004D3739">
      <w:pPr>
        <w:spacing w:before="120" w:after="120"/>
        <w:ind w:left="1134" w:hanging="567"/>
        <w:jc w:val="both"/>
        <w:rPr>
          <w:bCs/>
          <w:sz w:val="22"/>
          <w:szCs w:val="22"/>
        </w:rPr>
      </w:pPr>
      <w:r w:rsidRPr="004D3739">
        <w:rPr>
          <w:bCs/>
          <w:sz w:val="22"/>
          <w:szCs w:val="22"/>
        </w:rPr>
        <w:t>5.2</w:t>
      </w:r>
      <w:r w:rsidRPr="004D3739">
        <w:rPr>
          <w:bCs/>
          <w:sz w:val="22"/>
          <w:szCs w:val="22"/>
        </w:rPr>
        <w:tab/>
        <w:t xml:space="preserve">The power of the Supervisor and its representative is in compliance with Serbian legislation. 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All representatives of supervisors will be appointed by Contracting Authority in compliance with Law on planning and construction. Written approval of Contracting Authority will be required whenever the Supervisor has to decide on quantity and/or quality of works, on any type of additional payment, and any extension of time or any other type of variation. </w:t>
      </w:r>
    </w:p>
    <w:p w:rsidR="004D3739" w:rsidRPr="004D3739" w:rsidRDefault="004D3739" w:rsidP="004D3739">
      <w:pPr>
        <w:spacing w:before="120" w:after="120"/>
        <w:ind w:left="1134" w:hanging="567"/>
        <w:jc w:val="both"/>
        <w:rPr>
          <w:bCs/>
          <w:sz w:val="22"/>
          <w:szCs w:val="22"/>
        </w:rPr>
      </w:pPr>
      <w:r w:rsidRPr="004D3739">
        <w:rPr>
          <w:bCs/>
          <w:sz w:val="22"/>
          <w:szCs w:val="22"/>
        </w:rPr>
        <w:t>5.3</w:t>
      </w:r>
      <w:r w:rsidRPr="004D3739">
        <w:rPr>
          <w:bCs/>
          <w:sz w:val="22"/>
          <w:szCs w:val="22"/>
        </w:rPr>
        <w:tab/>
      </w:r>
      <w:r w:rsidRPr="004D3739">
        <w:rPr>
          <w:bCs/>
          <w:sz w:val="22"/>
          <w:szCs w:val="22"/>
          <w:lang w:val="en-US"/>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rsidR="004D3739" w:rsidRPr="004D3739" w:rsidRDefault="004D3739" w:rsidP="004D3739">
      <w:pPr>
        <w:spacing w:before="120" w:after="120"/>
        <w:ind w:left="1134" w:hanging="567"/>
        <w:jc w:val="both"/>
        <w:rPr>
          <w:b/>
          <w:bCs/>
          <w:sz w:val="22"/>
          <w:szCs w:val="22"/>
        </w:rPr>
      </w:pPr>
      <w:r w:rsidRPr="004D3739">
        <w:rPr>
          <w:bCs/>
          <w:sz w:val="22"/>
          <w:szCs w:val="22"/>
        </w:rPr>
        <w:t>5.4</w:t>
      </w:r>
      <w:r w:rsidRPr="004D3739">
        <w:rPr>
          <w:bCs/>
          <w:sz w:val="22"/>
          <w:szCs w:val="22"/>
        </w:rPr>
        <w:tab/>
      </w:r>
      <w:r w:rsidRPr="004D3739">
        <w:rPr>
          <w:bCs/>
          <w:sz w:val="22"/>
          <w:szCs w:val="22"/>
          <w:lang w:val="en-US"/>
        </w:rPr>
        <w:t xml:space="preserve">Instructions and/or orders issued by the Supervisor/ shall be by way of administrative orders and must be in compliance the Law on planning and construction. All administrative order by </w:t>
      </w:r>
      <w:r w:rsidRPr="004D3739">
        <w:rPr>
          <w:bCs/>
          <w:sz w:val="22"/>
          <w:szCs w:val="22"/>
          <w:lang w:val="en-US"/>
        </w:rPr>
        <w:lastRenderedPageBreak/>
        <w:t>the Supervisor shall be issued in three copies, one for the Supervisor, one for the Contracting Authority and one for the Contractor.</w:t>
      </w:r>
      <w:r w:rsidRPr="004D3739">
        <w:rPr>
          <w:b/>
          <w:bCs/>
          <w:sz w:val="22"/>
          <w:szCs w:val="22"/>
        </w:rPr>
        <w:t xml:space="preserve"> </w:t>
      </w:r>
    </w:p>
    <w:p w:rsidR="00292ED4" w:rsidRPr="00292ED4" w:rsidRDefault="00292ED4" w:rsidP="00292ED4">
      <w:pPr>
        <w:spacing w:before="120" w:after="120"/>
        <w:jc w:val="both"/>
        <w:rPr>
          <w:b/>
          <w:szCs w:val="24"/>
        </w:rPr>
      </w:pPr>
      <w:r w:rsidRPr="00292ED4">
        <w:rPr>
          <w:b/>
          <w:szCs w:val="24"/>
        </w:rPr>
        <w:t>Article 7    Subcontracting</w:t>
      </w:r>
    </w:p>
    <w:p w:rsidR="00292ED4" w:rsidRPr="00292ED4" w:rsidRDefault="00292ED4" w:rsidP="00292ED4">
      <w:pPr>
        <w:widowControl w:val="0"/>
        <w:shd w:val="clear" w:color="auto" w:fill="FFFFFF"/>
        <w:autoSpaceDE w:val="0"/>
        <w:autoSpaceDN w:val="0"/>
        <w:adjustRightInd w:val="0"/>
        <w:spacing w:before="120" w:after="120" w:line="209" w:lineRule="exact"/>
        <w:ind w:left="1134" w:right="6" w:hanging="567"/>
        <w:jc w:val="both"/>
        <w:rPr>
          <w:sz w:val="22"/>
          <w:szCs w:val="22"/>
          <w:lang w:eastAsia="mt-MT"/>
        </w:rPr>
      </w:pPr>
      <w:r w:rsidRPr="00292ED4">
        <w:rPr>
          <w:color w:val="000000"/>
          <w:sz w:val="22"/>
          <w:szCs w:val="22"/>
        </w:rPr>
        <w:t>7.3</w:t>
      </w:r>
      <w:r w:rsidRPr="00292ED4">
        <w:rPr>
          <w:color w:val="000000"/>
          <w:sz w:val="22"/>
          <w:szCs w:val="22"/>
        </w:rPr>
        <w:tab/>
      </w:r>
      <w:r w:rsidRPr="00292ED4">
        <w:rPr>
          <w:sz w:val="22"/>
          <w:szCs w:val="22"/>
          <w:lang w:val="en-US"/>
        </w:rPr>
        <w:t>The upper limit authorized for subcontracting is 30% of the Contract Price</w:t>
      </w:r>
      <w:r w:rsidRPr="00292ED4">
        <w:rPr>
          <w:sz w:val="22"/>
          <w:szCs w:val="22"/>
        </w:rPr>
        <w:t>.</w:t>
      </w:r>
    </w:p>
    <w:p w:rsidR="004D3739" w:rsidRPr="00F162E3" w:rsidRDefault="004D3739" w:rsidP="00A12DBD">
      <w:pPr>
        <w:spacing w:before="120" w:after="120"/>
        <w:ind w:left="1134" w:hanging="567"/>
        <w:jc w:val="both"/>
        <w:rPr>
          <w:bCs/>
          <w:sz w:val="22"/>
          <w:szCs w:val="22"/>
        </w:rPr>
      </w:pP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292ED4" w:rsidRPr="00292ED4" w:rsidRDefault="00292ED4" w:rsidP="00292ED4">
      <w:pPr>
        <w:spacing w:after="120"/>
        <w:ind w:left="1134" w:firstLine="28"/>
        <w:jc w:val="both"/>
        <w:rPr>
          <w:bCs/>
          <w:sz w:val="22"/>
          <w:szCs w:val="22"/>
        </w:rPr>
      </w:pPr>
      <w:r w:rsidRPr="00292ED4">
        <w:rPr>
          <w:bCs/>
          <w:sz w:val="22"/>
          <w:szCs w:val="22"/>
        </w:rPr>
        <w:t xml:space="preserve">The Contracting Authority shall give access of the Contractor to the Site in compliance with the Serbian Law of planning and construction. The Contractor is obliged to give to representatives of the Contracting Authority, National Authority, Site supervisor, JS of the </w:t>
      </w:r>
      <w:proofErr w:type="spellStart"/>
      <w:r w:rsidRPr="00292ED4">
        <w:rPr>
          <w:bCs/>
          <w:sz w:val="22"/>
          <w:szCs w:val="22"/>
        </w:rPr>
        <w:t>Interreg</w:t>
      </w:r>
      <w:proofErr w:type="spellEnd"/>
      <w:r w:rsidRPr="00292ED4">
        <w:rPr>
          <w:bCs/>
          <w:sz w:val="22"/>
          <w:szCs w:val="22"/>
        </w:rPr>
        <w:t xml:space="preserve">  Bulgaria – Serbia CBC Programme 2014-2020, other EU, state, regional and local authorities, which are authorised by international agreements, Serbian law or other administrative act to inspect the site, free access to the site of construction, factories, workshops, etc. on the site, and generally assist them in the performance of their duties.</w:t>
      </w:r>
    </w:p>
    <w:p w:rsidR="00292ED4" w:rsidRPr="00292ED4" w:rsidRDefault="00292ED4" w:rsidP="00292ED4">
      <w:pPr>
        <w:spacing w:after="120"/>
        <w:ind w:left="1134" w:firstLine="28"/>
        <w:jc w:val="both"/>
        <w:rPr>
          <w:bCs/>
          <w:sz w:val="22"/>
          <w:szCs w:val="22"/>
        </w:rPr>
      </w:pPr>
      <w:r w:rsidRPr="00292ED4">
        <w:rPr>
          <w:bCs/>
          <w:sz w:val="22"/>
          <w:szCs w:val="22"/>
        </w:rPr>
        <w:t>All correspondence between the contractor and the contracting authority or project supervisor must be copied, for information, to the head of delegation of the European Commission at the following official address:</w:t>
      </w:r>
    </w:p>
    <w:p w:rsidR="00292ED4" w:rsidRPr="00292ED4" w:rsidRDefault="00292ED4" w:rsidP="00292ED4">
      <w:pPr>
        <w:spacing w:after="120"/>
        <w:ind w:left="1134" w:firstLine="28"/>
        <w:jc w:val="both"/>
        <w:rPr>
          <w:bCs/>
          <w:sz w:val="22"/>
          <w:szCs w:val="22"/>
        </w:rPr>
      </w:pPr>
      <w:r w:rsidRPr="00292ED4">
        <w:rPr>
          <w:bCs/>
          <w:sz w:val="22"/>
          <w:szCs w:val="22"/>
        </w:rPr>
        <w:t>Delegation of the European Commission</w:t>
      </w:r>
    </w:p>
    <w:p w:rsidR="00292ED4" w:rsidRPr="00292ED4" w:rsidRDefault="00292ED4" w:rsidP="00292ED4">
      <w:pPr>
        <w:spacing w:after="120"/>
        <w:ind w:left="1134" w:firstLine="28"/>
        <w:jc w:val="both"/>
        <w:rPr>
          <w:bCs/>
          <w:sz w:val="22"/>
          <w:szCs w:val="22"/>
        </w:rPr>
      </w:pPr>
      <w:proofErr w:type="spellStart"/>
      <w:r w:rsidRPr="00292ED4">
        <w:rPr>
          <w:bCs/>
          <w:sz w:val="22"/>
          <w:szCs w:val="22"/>
        </w:rPr>
        <w:t>Avenija</w:t>
      </w:r>
      <w:proofErr w:type="spellEnd"/>
      <w:r w:rsidRPr="00292ED4">
        <w:rPr>
          <w:bCs/>
          <w:sz w:val="22"/>
          <w:szCs w:val="22"/>
        </w:rPr>
        <w:t xml:space="preserve"> 19A, </w:t>
      </w:r>
      <w:proofErr w:type="spellStart"/>
      <w:r w:rsidRPr="00292ED4">
        <w:rPr>
          <w:bCs/>
          <w:sz w:val="22"/>
          <w:szCs w:val="22"/>
        </w:rPr>
        <w:t>Vladimira</w:t>
      </w:r>
      <w:proofErr w:type="spellEnd"/>
      <w:r w:rsidRPr="00292ED4">
        <w:rPr>
          <w:bCs/>
          <w:sz w:val="22"/>
          <w:szCs w:val="22"/>
        </w:rPr>
        <w:t xml:space="preserve"> </w:t>
      </w:r>
      <w:proofErr w:type="spellStart"/>
      <w:r w:rsidRPr="00292ED4">
        <w:rPr>
          <w:bCs/>
          <w:sz w:val="22"/>
          <w:szCs w:val="22"/>
        </w:rPr>
        <w:t>Popovica</w:t>
      </w:r>
      <w:proofErr w:type="spellEnd"/>
      <w:r w:rsidRPr="00292ED4">
        <w:rPr>
          <w:bCs/>
          <w:sz w:val="22"/>
          <w:szCs w:val="22"/>
        </w:rPr>
        <w:t xml:space="preserve"> 40/V</w:t>
      </w:r>
    </w:p>
    <w:p w:rsidR="00292ED4" w:rsidRPr="00292ED4" w:rsidRDefault="00292ED4" w:rsidP="00292ED4">
      <w:pPr>
        <w:spacing w:after="120"/>
        <w:ind w:left="1134" w:firstLine="28"/>
        <w:jc w:val="both"/>
        <w:rPr>
          <w:bCs/>
          <w:sz w:val="22"/>
          <w:szCs w:val="22"/>
        </w:rPr>
      </w:pPr>
      <w:r w:rsidRPr="00292ED4">
        <w:rPr>
          <w:bCs/>
          <w:sz w:val="22"/>
          <w:szCs w:val="22"/>
        </w:rPr>
        <w:t>11070 Novi Beograd</w:t>
      </w:r>
    </w:p>
    <w:p w:rsidR="00292ED4" w:rsidRPr="00292ED4" w:rsidRDefault="00292ED4" w:rsidP="00292ED4">
      <w:pPr>
        <w:spacing w:after="120"/>
        <w:ind w:left="1134" w:firstLine="28"/>
        <w:jc w:val="both"/>
        <w:rPr>
          <w:bCs/>
          <w:sz w:val="22"/>
          <w:szCs w:val="22"/>
        </w:rPr>
      </w:pPr>
      <w:r w:rsidRPr="00292ED4">
        <w:rPr>
          <w:bCs/>
          <w:sz w:val="22"/>
          <w:szCs w:val="22"/>
        </w:rPr>
        <w:t>Tel: +381.11.3083200</w:t>
      </w:r>
    </w:p>
    <w:p w:rsidR="00292ED4" w:rsidRPr="00292ED4" w:rsidRDefault="00292ED4" w:rsidP="00292ED4">
      <w:pPr>
        <w:spacing w:after="120"/>
        <w:ind w:left="1134" w:firstLine="28"/>
        <w:jc w:val="both"/>
        <w:rPr>
          <w:bCs/>
          <w:sz w:val="22"/>
          <w:szCs w:val="22"/>
        </w:rPr>
      </w:pPr>
      <w:r w:rsidRPr="00292ED4">
        <w:rPr>
          <w:bCs/>
          <w:sz w:val="22"/>
          <w:szCs w:val="22"/>
        </w:rPr>
        <w:t>Fax: +381.11.3083201</w:t>
      </w:r>
    </w:p>
    <w:p w:rsidR="00292ED4" w:rsidRPr="00292ED4" w:rsidRDefault="00292ED4" w:rsidP="00292ED4">
      <w:pPr>
        <w:spacing w:after="120"/>
        <w:ind w:left="1134" w:firstLine="28"/>
        <w:jc w:val="both"/>
        <w:rPr>
          <w:bCs/>
          <w:sz w:val="22"/>
          <w:szCs w:val="22"/>
        </w:rPr>
      </w:pPr>
      <w:r w:rsidRPr="00292ED4">
        <w:rPr>
          <w:bCs/>
          <w:sz w:val="22"/>
          <w:szCs w:val="22"/>
        </w:rPr>
        <w:t>E-mail: delegation-serbia@eeas.europa.eu</w:t>
      </w:r>
    </w:p>
    <w:p w:rsidR="001A72CD" w:rsidRDefault="001A72CD" w:rsidP="00F2670B">
      <w:pPr>
        <w:spacing w:after="120"/>
        <w:ind w:left="1134" w:firstLine="28"/>
        <w:jc w:val="both"/>
        <w:rPr>
          <w:bCs/>
          <w:sz w:val="22"/>
          <w:szCs w:val="22"/>
        </w:rPr>
      </w:pP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1A72CD" w:rsidRDefault="001A72CD" w:rsidP="0089009D">
      <w:pPr>
        <w:spacing w:after="120"/>
        <w:ind w:left="1276" w:hanging="556"/>
        <w:jc w:val="both"/>
        <w:rPr>
          <w:bCs/>
          <w:sz w:val="22"/>
          <w:szCs w:val="22"/>
        </w:rPr>
      </w:pPr>
      <w:r>
        <w:rPr>
          <w:bCs/>
          <w:sz w:val="22"/>
          <w:szCs w:val="22"/>
        </w:rPr>
        <w:t>12.9</w:t>
      </w:r>
      <w:r>
        <w:rPr>
          <w:bCs/>
          <w:sz w:val="22"/>
          <w:szCs w:val="22"/>
        </w:rPr>
        <w:tab/>
      </w:r>
      <w:r w:rsidR="00292ED4" w:rsidRPr="00292ED4">
        <w:rPr>
          <w:bCs/>
          <w:sz w:val="22"/>
          <w:szCs w:val="22"/>
        </w:rPr>
        <w:t xml:space="preserve">The visibility measures must comply with rules laid down in the Communication and Visibility Manual for EU External Actions published by the European Commission - http://ec.europa.eu/europeaid/work/visibility/index_en.htm_en. The contractor is obliged to place a temporary information board during the construction process and a permanent information board at the end of the construction process at the site of the construction. The two boards should comply with its minimum obligation toward visibility laid down in the Visibility Guidelines of the </w:t>
      </w:r>
      <w:proofErr w:type="spellStart"/>
      <w:r w:rsidR="00292ED4" w:rsidRPr="00292ED4">
        <w:rPr>
          <w:bCs/>
          <w:sz w:val="22"/>
          <w:szCs w:val="22"/>
        </w:rPr>
        <w:t>Interreg</w:t>
      </w:r>
      <w:proofErr w:type="spellEnd"/>
      <w:r w:rsidR="00292ED4" w:rsidRPr="00292ED4">
        <w:rPr>
          <w:bCs/>
          <w:sz w:val="22"/>
          <w:szCs w:val="22"/>
        </w:rPr>
        <w:t xml:space="preserve">-IPA CBC Bulgaria-Serbia Programme, which are published on </w:t>
      </w:r>
      <w:hyperlink r:id="rId9" w:history="1">
        <w:r w:rsidR="00292ED4" w:rsidRPr="00292ED4">
          <w:rPr>
            <w:rStyle w:val="Hyperlink"/>
            <w:bCs/>
            <w:sz w:val="22"/>
            <w:szCs w:val="22"/>
          </w:rPr>
          <w:t>http://www.ipacbc-bgrs.eu/</w:t>
        </w:r>
      </w:hyperlink>
      <w:r w:rsidR="00292ED4" w:rsidRPr="00292ED4">
        <w:rPr>
          <w:bCs/>
          <w:sz w:val="22"/>
          <w:szCs w:val="22"/>
        </w:rPr>
        <w:t>.</w:t>
      </w:r>
    </w:p>
    <w:p w:rsidR="00292ED4" w:rsidRDefault="00292ED4" w:rsidP="00292ED4">
      <w:pPr>
        <w:shd w:val="clear" w:color="auto" w:fill="FFFFFF"/>
        <w:spacing w:before="240"/>
        <w:ind w:left="1276" w:hanging="1276"/>
        <w:jc w:val="both"/>
        <w:rPr>
          <w:b/>
          <w:snapToGrid/>
          <w:sz w:val="22"/>
          <w:szCs w:val="22"/>
          <w:lang w:val="en-US"/>
        </w:rPr>
      </w:pPr>
      <w:r>
        <w:rPr>
          <w:b/>
          <w:sz w:val="22"/>
          <w:szCs w:val="22"/>
          <w:lang w:val="en-US"/>
        </w:rPr>
        <w:t>After sub article 12.10 add sub article 12.11</w:t>
      </w:r>
    </w:p>
    <w:p w:rsidR="00292ED4" w:rsidRDefault="00292ED4" w:rsidP="00292ED4">
      <w:pPr>
        <w:shd w:val="clear" w:color="auto" w:fill="FFFFFF"/>
        <w:spacing w:before="240" w:line="276" w:lineRule="auto"/>
        <w:ind w:left="1170" w:hanging="630"/>
        <w:jc w:val="both"/>
        <w:rPr>
          <w:b/>
          <w:sz w:val="22"/>
          <w:szCs w:val="22"/>
          <w:lang w:val="en-US"/>
        </w:rPr>
      </w:pPr>
      <w:r>
        <w:rPr>
          <w:sz w:val="22"/>
          <w:szCs w:val="22"/>
          <w:lang w:val="en-US"/>
        </w:rPr>
        <w:t>12.11.</w:t>
      </w:r>
      <w:r>
        <w:rPr>
          <w:b/>
          <w:sz w:val="22"/>
          <w:szCs w:val="22"/>
          <w:lang w:val="en-US"/>
        </w:rPr>
        <w:t xml:space="preserve"> </w:t>
      </w:r>
      <w:r>
        <w:rPr>
          <w:sz w:val="22"/>
          <w:szCs w:val="22"/>
          <w:lang w:val="en-US"/>
        </w:rPr>
        <w:t>The Contractor shall be responsible for the safekeeping of any formal documents relating to the works, according to Serbian Law of Planning and Construction.</w:t>
      </w:r>
    </w:p>
    <w:p w:rsidR="00292ED4" w:rsidRPr="00E725FE" w:rsidRDefault="00292ED4" w:rsidP="0089009D">
      <w:pPr>
        <w:spacing w:after="120"/>
        <w:ind w:left="1276" w:hanging="556"/>
        <w:jc w:val="both"/>
        <w:rPr>
          <w:b/>
          <w:bCs/>
          <w:sz w:val="22"/>
          <w:szCs w:val="22"/>
        </w:rPr>
      </w:pP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292ED4" w:rsidRPr="00292ED4">
        <w:rPr>
          <w:sz w:val="22"/>
          <w:szCs w:val="22"/>
        </w:rPr>
        <w:t xml:space="preserve">The amount of the performance guarantee will be </w:t>
      </w:r>
      <w:r w:rsidR="00292ED4">
        <w:rPr>
          <w:sz w:val="22"/>
          <w:szCs w:val="22"/>
        </w:rPr>
        <w:t>5</w:t>
      </w:r>
      <w:r w:rsidR="00292ED4" w:rsidRPr="00292ED4">
        <w:rPr>
          <w:sz w:val="22"/>
          <w:szCs w:val="22"/>
        </w:rPr>
        <w:t>% of the amount of the contract and any addenda thereto.</w:t>
      </w:r>
    </w:p>
    <w:p w:rsidR="00292ED4" w:rsidRPr="00292ED4" w:rsidRDefault="00292ED4" w:rsidP="00292ED4">
      <w:pPr>
        <w:spacing w:before="120" w:after="120"/>
        <w:ind w:left="1276"/>
        <w:jc w:val="both"/>
        <w:rPr>
          <w:sz w:val="22"/>
          <w:szCs w:val="22"/>
        </w:rPr>
      </w:pPr>
      <w:r w:rsidRPr="00292ED4">
        <w:rPr>
          <w:sz w:val="22"/>
          <w:szCs w:val="22"/>
        </w:rPr>
        <w:lastRenderedPageBreak/>
        <w:t xml:space="preserve">The performance guarantee </w:t>
      </w:r>
      <w:proofErr w:type="spellStart"/>
      <w:r w:rsidRPr="00292ED4">
        <w:rPr>
          <w:sz w:val="22"/>
          <w:szCs w:val="22"/>
        </w:rPr>
        <w:t>sh</w:t>
      </w:r>
      <w:proofErr w:type="spellEnd"/>
      <w:r w:rsidRPr="00292ED4">
        <w:rPr>
          <w:sz w:val="22"/>
          <w:szCs w:val="22"/>
          <w:lang w:val="bg-BG"/>
        </w:rPr>
        <w:t>о</w:t>
      </w:r>
      <w:proofErr w:type="spellStart"/>
      <w:r w:rsidRPr="00292ED4">
        <w:rPr>
          <w:sz w:val="22"/>
          <w:szCs w:val="22"/>
          <w:lang w:val="en-US"/>
        </w:rPr>
        <w:t>uld</w:t>
      </w:r>
      <w:proofErr w:type="spellEnd"/>
      <w:r w:rsidRPr="00292ED4">
        <w:rPr>
          <w:sz w:val="22"/>
          <w:szCs w:val="22"/>
          <w:lang w:val="en-US"/>
        </w:rPr>
        <w:t xml:space="preserve"> be </w:t>
      </w:r>
      <w:r w:rsidRPr="00292ED4">
        <w:rPr>
          <w:sz w:val="22"/>
          <w:szCs w:val="22"/>
        </w:rPr>
        <w:t xml:space="preserve">provided in the form of a bank guarantee, or a </w:t>
      </w:r>
      <w:r w:rsidR="008F332A">
        <w:rPr>
          <w:sz w:val="22"/>
          <w:szCs w:val="22"/>
        </w:rPr>
        <w:t xml:space="preserve">duly signed and registered </w:t>
      </w:r>
      <w:r w:rsidRPr="00292ED4">
        <w:rPr>
          <w:sz w:val="22"/>
          <w:szCs w:val="22"/>
        </w:rPr>
        <w:t>blank own promissory note, in favour of the Contracting authority, with a</w:t>
      </w:r>
      <w:r>
        <w:rPr>
          <w:sz w:val="22"/>
          <w:szCs w:val="22"/>
        </w:rPr>
        <w:t>uthorization in the amount of 5</w:t>
      </w:r>
      <w:r w:rsidRPr="00292ED4">
        <w:rPr>
          <w:sz w:val="22"/>
          <w:szCs w:val="22"/>
        </w:rPr>
        <w:t>% of the contracted value, with the clause unconditional and payable on the first call in the name of good performance of work, as well as a card deposited signatures.</w:t>
      </w:r>
    </w:p>
    <w:p w:rsidR="00292ED4" w:rsidRPr="00292ED4" w:rsidRDefault="00292ED4" w:rsidP="00292ED4">
      <w:pPr>
        <w:spacing w:before="120" w:after="120"/>
        <w:ind w:left="1276"/>
        <w:jc w:val="both"/>
        <w:rPr>
          <w:b/>
          <w:bCs/>
          <w:sz w:val="22"/>
          <w:szCs w:val="22"/>
        </w:rPr>
      </w:pPr>
      <w:r w:rsidRPr="00292ED4">
        <w:rPr>
          <w:b/>
          <w:bCs/>
          <w:sz w:val="22"/>
          <w:szCs w:val="22"/>
        </w:rPr>
        <w:t>The performance guarantee shall be delivered within 7 days of the conclusion of the Contract</w:t>
      </w:r>
    </w:p>
    <w:p w:rsidR="00292ED4" w:rsidRPr="00CA6498" w:rsidRDefault="00292ED4" w:rsidP="003D764D">
      <w:pPr>
        <w:spacing w:before="120" w:after="120"/>
        <w:ind w:left="1276" w:hanging="709"/>
        <w:jc w:val="both"/>
        <w:rPr>
          <w:sz w:val="22"/>
          <w:szCs w:val="22"/>
        </w:rPr>
      </w:pP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292ED4" w:rsidRPr="00292ED4" w:rsidRDefault="00292ED4" w:rsidP="00292ED4">
      <w:pPr>
        <w:tabs>
          <w:tab w:val="left" w:pos="1276"/>
        </w:tabs>
        <w:spacing w:before="240" w:after="120"/>
        <w:ind w:left="1276" w:hanging="992"/>
        <w:jc w:val="both"/>
        <w:rPr>
          <w:sz w:val="22"/>
          <w:szCs w:val="22"/>
        </w:rPr>
      </w:pPr>
      <w:r w:rsidRPr="00292ED4">
        <w:rPr>
          <w:sz w:val="22"/>
          <w:szCs w:val="22"/>
        </w:rPr>
        <w:t xml:space="preserve">16.1 c) </w:t>
      </w:r>
      <w:r w:rsidRPr="00292ED4">
        <w:rPr>
          <w:sz w:val="22"/>
          <w:szCs w:val="22"/>
        </w:rPr>
        <w:tab/>
      </w:r>
      <w:r w:rsidRPr="00292ED4">
        <w:rPr>
          <w:sz w:val="22"/>
          <w:szCs w:val="22"/>
          <w:lang w:val="en-US"/>
        </w:rPr>
        <w:t>Contractor has obligation to provide Insurance of liability related to the soundness of the works in accordance to Article 158 of Law on Planning and Construction of Serbia in terms of Warranty period.</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292ED4">
        <w:rPr>
          <w:sz w:val="22"/>
          <w:szCs w:val="22"/>
        </w:rPr>
        <w:t>N/A</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292ED4">
        <w:rPr>
          <w:rFonts w:ascii="Times New Roman" w:hAnsi="Times New Roman"/>
          <w:b w:val="0"/>
          <w:bCs/>
          <w:sz w:val="22"/>
          <w:szCs w:val="22"/>
          <w:lang w:val="en-GB"/>
        </w:rPr>
        <w:t>12 (twelve) months</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10269B" w:rsidRPr="0010269B" w:rsidRDefault="0010269B" w:rsidP="0010269B">
      <w:pPr>
        <w:spacing w:before="120" w:after="120"/>
        <w:ind w:left="1276" w:hanging="709"/>
        <w:jc w:val="both"/>
        <w:rPr>
          <w:bCs/>
          <w:sz w:val="22"/>
          <w:szCs w:val="22"/>
          <w:lang w:val="en-US"/>
        </w:rPr>
      </w:pPr>
      <w:bookmarkStart w:id="19" w:name="_Toc76894435"/>
      <w:r w:rsidRPr="0010269B">
        <w:rPr>
          <w:bCs/>
          <w:sz w:val="22"/>
          <w:szCs w:val="22"/>
        </w:rPr>
        <w:t>39.1</w:t>
      </w:r>
      <w:r w:rsidRPr="0010269B">
        <w:rPr>
          <w:bCs/>
          <w:sz w:val="22"/>
          <w:szCs w:val="22"/>
        </w:rPr>
        <w:tab/>
      </w:r>
      <w:r w:rsidRPr="0010269B">
        <w:rPr>
          <w:bCs/>
          <w:sz w:val="22"/>
          <w:szCs w:val="22"/>
          <w:lang w:val="en-US"/>
        </w:rPr>
        <w:t>A work register shall, be kept on the site by the Contractor. Work register at least will contain the following:</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Construction Log (</w:t>
      </w:r>
      <w:proofErr w:type="spellStart"/>
      <w:r w:rsidRPr="0010269B">
        <w:rPr>
          <w:bCs/>
          <w:sz w:val="22"/>
          <w:szCs w:val="22"/>
          <w:lang w:val="en-US"/>
        </w:rPr>
        <w:t>Građevinski</w:t>
      </w:r>
      <w:proofErr w:type="spellEnd"/>
      <w:r w:rsidRPr="0010269B">
        <w:rPr>
          <w:bCs/>
          <w:sz w:val="22"/>
          <w:szCs w:val="22"/>
          <w:lang w:val="en-US"/>
        </w:rPr>
        <w:t xml:space="preserve"> </w:t>
      </w:r>
      <w:proofErr w:type="spellStart"/>
      <w:r w:rsidRPr="0010269B">
        <w:rPr>
          <w:bCs/>
          <w:sz w:val="22"/>
          <w:szCs w:val="22"/>
          <w:lang w:val="en-US"/>
        </w:rPr>
        <w:t>dnevnik</w:t>
      </w:r>
      <w:proofErr w:type="spellEnd"/>
      <w:r w:rsidRPr="0010269B">
        <w:rPr>
          <w:bCs/>
          <w:sz w:val="22"/>
          <w:szCs w:val="22"/>
          <w:lang w:val="en-US"/>
        </w:rPr>
        <w:t>), according to Serbian Law of Planning and Construction;</w:t>
      </w:r>
    </w:p>
    <w:p w:rsidR="0010269B" w:rsidRPr="0010269B" w:rsidRDefault="0010269B" w:rsidP="0010269B">
      <w:pPr>
        <w:numPr>
          <w:ilvl w:val="0"/>
          <w:numId w:val="13"/>
        </w:numPr>
        <w:spacing w:before="120" w:after="120"/>
        <w:jc w:val="both"/>
        <w:rPr>
          <w:b/>
          <w:bCs/>
          <w:sz w:val="22"/>
          <w:szCs w:val="22"/>
        </w:rPr>
      </w:pPr>
      <w:r w:rsidRPr="0010269B">
        <w:rPr>
          <w:bCs/>
          <w:sz w:val="22"/>
          <w:szCs w:val="22"/>
          <w:lang w:val="en-US"/>
        </w:rPr>
        <w:lastRenderedPageBreak/>
        <w:t>Construction Book (</w:t>
      </w:r>
      <w:proofErr w:type="spellStart"/>
      <w:r w:rsidRPr="0010269B">
        <w:rPr>
          <w:bCs/>
          <w:sz w:val="22"/>
          <w:szCs w:val="22"/>
          <w:lang w:val="en-US"/>
        </w:rPr>
        <w:t>Gradjevinska</w:t>
      </w:r>
      <w:proofErr w:type="spellEnd"/>
      <w:r w:rsidRPr="0010269B">
        <w:rPr>
          <w:bCs/>
          <w:sz w:val="22"/>
          <w:szCs w:val="22"/>
          <w:lang w:val="en-US"/>
        </w:rPr>
        <w:t xml:space="preserve"> </w:t>
      </w:r>
      <w:proofErr w:type="spellStart"/>
      <w:r w:rsidRPr="0010269B">
        <w:rPr>
          <w:bCs/>
          <w:sz w:val="22"/>
          <w:szCs w:val="22"/>
          <w:lang w:val="en-US"/>
        </w:rPr>
        <w:t>knjiga</w:t>
      </w:r>
      <w:proofErr w:type="spellEnd"/>
      <w:r w:rsidRPr="0010269B">
        <w:rPr>
          <w:bCs/>
          <w:sz w:val="22"/>
          <w:szCs w:val="22"/>
          <w:lang w:val="en-US"/>
        </w:rPr>
        <w:t>), according to Serbian Law of Planning and Construction.</w:t>
      </w:r>
    </w:p>
    <w:p w:rsidR="0010269B" w:rsidRPr="0010269B" w:rsidRDefault="0010269B" w:rsidP="0010269B">
      <w:pPr>
        <w:numPr>
          <w:ilvl w:val="0"/>
          <w:numId w:val="13"/>
        </w:numPr>
        <w:spacing w:before="120" w:after="120"/>
        <w:jc w:val="both"/>
        <w:rPr>
          <w:bCs/>
          <w:sz w:val="22"/>
          <w:szCs w:val="22"/>
          <w:lang w:val="en-US"/>
        </w:rPr>
      </w:pPr>
      <w:r w:rsidRPr="0010269B">
        <w:rPr>
          <w:bCs/>
          <w:sz w:val="22"/>
          <w:szCs w:val="22"/>
          <w:lang w:val="en-US"/>
        </w:rPr>
        <w:t>Inspection Book (</w:t>
      </w:r>
      <w:proofErr w:type="spellStart"/>
      <w:r w:rsidRPr="0010269B">
        <w:rPr>
          <w:bCs/>
          <w:sz w:val="22"/>
          <w:szCs w:val="22"/>
          <w:lang w:val="en-US"/>
        </w:rPr>
        <w:t>Knjiga</w:t>
      </w:r>
      <w:proofErr w:type="spellEnd"/>
      <w:r w:rsidRPr="0010269B">
        <w:rPr>
          <w:bCs/>
          <w:sz w:val="22"/>
          <w:szCs w:val="22"/>
          <w:lang w:val="en-US"/>
        </w:rPr>
        <w:t xml:space="preserve"> </w:t>
      </w:r>
      <w:proofErr w:type="spellStart"/>
      <w:r w:rsidRPr="0010269B">
        <w:rPr>
          <w:bCs/>
          <w:sz w:val="22"/>
          <w:szCs w:val="22"/>
          <w:lang w:val="en-US"/>
        </w:rPr>
        <w:t>inspekcije</w:t>
      </w:r>
      <w:proofErr w:type="spellEnd"/>
      <w:r w:rsidRPr="0010269B">
        <w:rPr>
          <w:bCs/>
          <w:sz w:val="22"/>
          <w:szCs w:val="22"/>
          <w:lang w:val="en-US"/>
        </w:rPr>
        <w:t>), according to Serbian Law of Planning and Construction;</w:t>
      </w:r>
    </w:p>
    <w:p w:rsidR="0010269B" w:rsidRPr="0010269B" w:rsidRDefault="0010269B" w:rsidP="0010269B">
      <w:pPr>
        <w:spacing w:before="120" w:after="120"/>
        <w:ind w:left="1276" w:hanging="709"/>
        <w:jc w:val="both"/>
        <w:rPr>
          <w:bCs/>
          <w:sz w:val="22"/>
          <w:szCs w:val="22"/>
        </w:rPr>
      </w:pPr>
      <w:r w:rsidRPr="0010269B">
        <w:rPr>
          <w:bCs/>
          <w:sz w:val="22"/>
          <w:szCs w:val="22"/>
        </w:rPr>
        <w:t>39.2</w:t>
      </w:r>
      <w:r w:rsidRPr="0010269B">
        <w:rPr>
          <w:bCs/>
          <w:sz w:val="22"/>
          <w:szCs w:val="22"/>
        </w:rPr>
        <w:tab/>
      </w:r>
      <w:r w:rsidRPr="0010269B">
        <w:rPr>
          <w:sz w:val="22"/>
          <w:szCs w:val="22"/>
        </w:rPr>
        <w:t xml:space="preserve">Technical rules for drawing up statements should be in accordance with </w:t>
      </w:r>
      <w:r w:rsidRPr="0010269B">
        <w:rPr>
          <w:bCs/>
          <w:sz w:val="22"/>
          <w:szCs w:val="22"/>
          <w:lang w:val="en-US"/>
        </w:rPr>
        <w:t>Serbian Law on Planning and Construction.</w:t>
      </w:r>
    </w:p>
    <w:p w:rsidR="001050EE" w:rsidRPr="00116CA6" w:rsidRDefault="001050EE" w:rsidP="00A12DBD">
      <w:pPr>
        <w:spacing w:before="240"/>
        <w:ind w:left="1276" w:hanging="1276"/>
        <w:jc w:val="both"/>
        <w:rPr>
          <w:b/>
          <w:szCs w:val="24"/>
        </w:rPr>
      </w:pPr>
      <w:r w:rsidRPr="00116CA6">
        <w:rPr>
          <w:b/>
          <w:szCs w:val="24"/>
        </w:rPr>
        <w:t>Article 40</w:t>
      </w:r>
      <w:r w:rsidRPr="00116CA6">
        <w:rPr>
          <w:b/>
          <w:szCs w:val="24"/>
        </w:rPr>
        <w:tab/>
        <w:t>Origin and quality of works and materials</w:t>
      </w:r>
      <w:bookmarkEnd w:id="19"/>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proofErr w:type="spellStart"/>
      <w:r w:rsidR="0010269B" w:rsidRPr="0010269B">
        <w:rPr>
          <w:rFonts w:ascii="Times New Roman" w:hAnsi="Times New Roman"/>
          <w:b w:val="0"/>
          <w:sz w:val="22"/>
          <w:szCs w:val="22"/>
          <w:lang w:val="en-GB"/>
        </w:rPr>
        <w:t>Interreg</w:t>
      </w:r>
      <w:proofErr w:type="spellEnd"/>
      <w:r w:rsidR="0010269B" w:rsidRPr="0010269B">
        <w:rPr>
          <w:rFonts w:ascii="Times New Roman" w:hAnsi="Times New Roman"/>
          <w:b w:val="0"/>
          <w:sz w:val="22"/>
          <w:szCs w:val="22"/>
          <w:lang w:val="en-GB"/>
        </w:rPr>
        <w:t xml:space="preserve"> IPA  CBC Bulgaria-Serbia </w:t>
      </w:r>
      <w:r w:rsidRPr="00B52397">
        <w:rPr>
          <w:rFonts w:ascii="Times New Roman" w:hAnsi="Times New Roman"/>
          <w:b w:val="0"/>
          <w:sz w:val="22"/>
          <w:szCs w:val="22"/>
          <w:lang w:val="en-GB"/>
        </w:rPr>
        <w:t>programme</w:t>
      </w:r>
      <w:r w:rsidR="0010269B">
        <w:rPr>
          <w:rFonts w:ascii="Times New Roman" w:hAnsi="Times New Roman"/>
          <w:b w:val="0"/>
          <w:sz w:val="22"/>
          <w:szCs w:val="22"/>
          <w:lang w:val="en-GB"/>
        </w:rPr>
        <w:t>.</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10269B">
        <w:rPr>
          <w:rFonts w:ascii="Times New Roman" w:hAnsi="Times New Roman"/>
          <w:b w:val="0"/>
          <w:sz w:val="22"/>
          <w:szCs w:val="22"/>
          <w:lang w:val="en-GB"/>
        </w:rPr>
        <w:t>rice (Volume 4.2.3).</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10269B" w:rsidRPr="00934FA2" w:rsidRDefault="001050EE" w:rsidP="0010269B">
      <w:pPr>
        <w:ind w:left="1701" w:hanging="425"/>
        <w:jc w:val="both"/>
        <w:rPr>
          <w:sz w:val="22"/>
          <w:szCs w:val="22"/>
        </w:rPr>
      </w:pPr>
      <w:r w:rsidRPr="00E725FE">
        <w:rPr>
          <w:sz w:val="22"/>
          <w:szCs w:val="22"/>
        </w:rPr>
        <w:t>(*)</w:t>
      </w:r>
      <w:r w:rsidR="00A12DBD">
        <w:rPr>
          <w:sz w:val="22"/>
          <w:szCs w:val="22"/>
        </w:rPr>
        <w:tab/>
      </w:r>
      <w:r w:rsidRPr="00E725FE">
        <w:rPr>
          <w:sz w:val="22"/>
          <w:szCs w:val="22"/>
        </w:rPr>
        <w:t>the following specifications</w:t>
      </w:r>
      <w:r w:rsidR="0010269B" w:rsidRPr="00934FA2">
        <w:rPr>
          <w:sz w:val="22"/>
          <w:szCs w:val="22"/>
        </w:rPr>
        <w:t>:</w:t>
      </w:r>
      <w:r w:rsidR="0010269B" w:rsidRPr="00934FA2">
        <w:rPr>
          <w:sz w:val="22"/>
          <w:szCs w:val="22"/>
          <w:lang w:val="en-US"/>
        </w:rPr>
        <w:t xml:space="preserve"> works and objects, equipment or materials used in their construction must comply as a minimum with </w:t>
      </w:r>
      <w:r w:rsidR="0010269B" w:rsidRPr="00934FA2">
        <w:rPr>
          <w:bCs/>
          <w:sz w:val="22"/>
          <w:szCs w:val="22"/>
          <w:lang w:val="en-US"/>
        </w:rPr>
        <w:t>the Technical Specifications, volume 3, part of the Contract.</w:t>
      </w:r>
    </w:p>
    <w:p w:rsidR="001050EE" w:rsidRPr="00E725FE" w:rsidRDefault="00A12DBD" w:rsidP="00A12DBD">
      <w:pPr>
        <w:ind w:left="1701" w:hanging="425"/>
        <w:jc w:val="both"/>
        <w:rPr>
          <w:sz w:val="22"/>
          <w:szCs w:val="22"/>
        </w:rPr>
      </w:pPr>
      <w:r>
        <w:rPr>
          <w:sz w:val="22"/>
          <w:szCs w:val="22"/>
        </w:rPr>
        <w:t>(*)</w:t>
      </w:r>
      <w:r>
        <w:rPr>
          <w:sz w:val="22"/>
          <w:szCs w:val="22"/>
        </w:rPr>
        <w:tab/>
      </w:r>
      <w:r w:rsidR="0010269B">
        <w:rPr>
          <w:sz w:val="22"/>
          <w:szCs w:val="22"/>
        </w:rPr>
        <w:t>the requirements of</w:t>
      </w:r>
      <w:r w:rsidR="0010269B" w:rsidRPr="008414CF">
        <w:rPr>
          <w:sz w:val="22"/>
          <w:szCs w:val="22"/>
        </w:rPr>
        <w:t xml:space="preserve"> </w:t>
      </w:r>
      <w:r w:rsidR="0010269B" w:rsidRPr="008414CF">
        <w:rPr>
          <w:bCs/>
          <w:sz w:val="22"/>
          <w:szCs w:val="22"/>
          <w:lang w:val="en-US"/>
        </w:rPr>
        <w:t>Serbian standards and codes</w:t>
      </w:r>
      <w:r w:rsidR="0010269B" w:rsidRPr="008414CF">
        <w:rPr>
          <w:sz w:val="22"/>
          <w:szCs w:val="22"/>
        </w:rPr>
        <w:t xml:space="preserve"> according to </w:t>
      </w:r>
      <w:r w:rsidR="0010269B">
        <w:rPr>
          <w:sz w:val="22"/>
          <w:szCs w:val="22"/>
          <w:lang w:val="en-US"/>
        </w:rPr>
        <w:t>Serbian</w:t>
      </w:r>
      <w:r w:rsidR="0010269B" w:rsidRPr="008414CF">
        <w:rPr>
          <w:sz w:val="22"/>
          <w:szCs w:val="22"/>
          <w:lang w:val="en-US"/>
        </w:rPr>
        <w:t xml:space="preserve"> Law of Planning and Construction.</w:t>
      </w:r>
    </w:p>
    <w:p w:rsidR="001050EE" w:rsidRPr="00A12DBD" w:rsidRDefault="001050EE" w:rsidP="00A12DBD">
      <w:pPr>
        <w:spacing w:before="120" w:after="120"/>
        <w:ind w:left="1276" w:hanging="709"/>
        <w:jc w:val="both"/>
        <w:rPr>
          <w:bCs/>
          <w:sz w:val="22"/>
          <w:szCs w:val="22"/>
        </w:rPr>
      </w:pPr>
      <w:r w:rsidRPr="00A12DBD">
        <w:rPr>
          <w:bCs/>
          <w:sz w:val="22"/>
          <w:szCs w:val="22"/>
        </w:rPr>
        <w:t>40.3</w:t>
      </w:r>
      <w:r w:rsidRPr="00A12DBD">
        <w:rPr>
          <w:sz w:val="22"/>
          <w:szCs w:val="22"/>
        </w:rPr>
        <w:tab/>
      </w:r>
      <w:r w:rsidR="0010269B" w:rsidRPr="0010269B">
        <w:rPr>
          <w:sz w:val="22"/>
          <w:szCs w:val="22"/>
        </w:rPr>
        <w:t>Preliminary technical acceptance is not necessary.</w:t>
      </w:r>
    </w:p>
    <w:p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rsidR="0010269B" w:rsidRPr="0010269B" w:rsidRDefault="001050EE" w:rsidP="0010269B">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10269B" w:rsidRPr="0010269B">
        <w:rPr>
          <w:sz w:val="22"/>
          <w:szCs w:val="22"/>
        </w:rPr>
        <w:t xml:space="preserve">in Euro, in case the Contractor is registered in the country than Serbia, or in RSD, in case the Contractor is registered in Serbia - the currency exchange rate used shall be the currency exchange rate of the </w:t>
      </w:r>
      <w:proofErr w:type="spellStart"/>
      <w:r w:rsidR="0010269B" w:rsidRPr="0010269B">
        <w:rPr>
          <w:sz w:val="22"/>
          <w:szCs w:val="22"/>
        </w:rPr>
        <w:t>InforEuro</w:t>
      </w:r>
      <w:proofErr w:type="spellEnd"/>
      <w:r w:rsidR="0010269B" w:rsidRPr="0010269B">
        <w:rPr>
          <w:sz w:val="22"/>
          <w:szCs w:val="22"/>
        </w:rPr>
        <w:t xml:space="preserve"> at the month of launching the tender. </w:t>
      </w:r>
    </w:p>
    <w:p w:rsidR="001050EE" w:rsidRPr="00A12DBD" w:rsidRDefault="0010269B" w:rsidP="0010269B">
      <w:pPr>
        <w:tabs>
          <w:tab w:val="right" w:pos="9885"/>
        </w:tabs>
        <w:spacing w:before="120" w:after="120"/>
        <w:ind w:left="1276" w:hanging="709"/>
        <w:jc w:val="both"/>
        <w:rPr>
          <w:sz w:val="22"/>
          <w:szCs w:val="22"/>
        </w:rPr>
      </w:pPr>
      <w:r w:rsidRPr="0010269B">
        <w:rPr>
          <w:sz w:val="22"/>
          <w:szCs w:val="22"/>
        </w:rPr>
        <w:t xml:space="preserve"> </w:t>
      </w:r>
      <w:r w:rsidR="001050EE" w:rsidRPr="00A12DBD">
        <w:rPr>
          <w:bCs/>
          <w:sz w:val="22"/>
          <w:szCs w:val="22"/>
        </w:rPr>
        <w:t>44.2</w:t>
      </w:r>
      <w:r w:rsidR="001050EE" w:rsidRPr="00A12DBD">
        <w:rPr>
          <w:sz w:val="22"/>
          <w:szCs w:val="22"/>
        </w:rPr>
        <w:tab/>
      </w:r>
      <w:r w:rsidRPr="0010269B">
        <w:rPr>
          <w:sz w:val="22"/>
          <w:szCs w:val="22"/>
        </w:rPr>
        <w:t>No derogation to General Conditions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8206C3" w:rsidRPr="00CA6498" w:rsidRDefault="00A12DBD" w:rsidP="0010269B">
      <w:pPr>
        <w:spacing w:before="120" w:after="120"/>
        <w:ind w:left="1276" w:hanging="709"/>
        <w:jc w:val="both"/>
        <w:rPr>
          <w:bCs/>
          <w:sz w:val="22"/>
          <w:szCs w:val="22"/>
        </w:rPr>
      </w:pPr>
      <w:r w:rsidRPr="00CA6498">
        <w:rPr>
          <w:sz w:val="22"/>
          <w:szCs w:val="22"/>
        </w:rPr>
        <w:t>46.1</w:t>
      </w:r>
      <w:r w:rsidRPr="00CA6498">
        <w:rPr>
          <w:sz w:val="22"/>
          <w:szCs w:val="22"/>
        </w:rPr>
        <w:tab/>
      </w:r>
      <w:r w:rsidR="0010269B">
        <w:rPr>
          <w:sz w:val="22"/>
          <w:szCs w:val="22"/>
        </w:rPr>
        <w:t>Pre-financing is not possible</w:t>
      </w:r>
    </w:p>
    <w:p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rsidR="00872A2E" w:rsidRPr="00CA6498" w:rsidRDefault="0010269B" w:rsidP="0010269B">
      <w:pPr>
        <w:spacing w:before="120" w:after="120"/>
        <w:ind w:left="1276" w:hanging="709"/>
        <w:jc w:val="both"/>
        <w:rPr>
          <w:bCs/>
          <w:sz w:val="22"/>
          <w:szCs w:val="22"/>
        </w:rPr>
      </w:pPr>
      <w:r>
        <w:rPr>
          <w:bCs/>
          <w:sz w:val="22"/>
          <w:szCs w:val="22"/>
        </w:rPr>
        <w:t>N/A</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lastRenderedPageBreak/>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8251"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AB3C8C">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 xml:space="preserve">Up to </w:t>
            </w:r>
            <w:r w:rsidR="0010269B">
              <w:rPr>
                <w:sz w:val="22"/>
                <w:szCs w:val="22"/>
              </w:rPr>
              <w:t>3</w:t>
            </w:r>
            <w:r w:rsidR="00A44D93" w:rsidRPr="00CA6498">
              <w:rPr>
                <w:sz w:val="22"/>
                <w:szCs w:val="22"/>
              </w:rPr>
              <w:t>0%</w:t>
            </w:r>
          </w:p>
        </w:tc>
        <w:tc>
          <w:tcPr>
            <w:tcW w:w="2552" w:type="dxa"/>
            <w:shd w:val="clear" w:color="auto" w:fill="auto"/>
          </w:tcPr>
          <w:p w:rsidR="00A44D93" w:rsidRPr="00CA6498" w:rsidRDefault="0010269B" w:rsidP="005967FA">
            <w:pPr>
              <w:spacing w:before="120" w:after="120"/>
              <w:jc w:val="both"/>
              <w:rPr>
                <w:sz w:val="22"/>
                <w:szCs w:val="22"/>
              </w:rPr>
            </w:pPr>
            <w:r w:rsidRPr="006A67E2">
              <w:rPr>
                <w:sz w:val="22"/>
                <w:szCs w:val="22"/>
              </w:rPr>
              <w:t>First Interim payment</w:t>
            </w:r>
          </w:p>
        </w:tc>
        <w:tc>
          <w:tcPr>
            <w:tcW w:w="3890" w:type="dxa"/>
            <w:shd w:val="clear" w:color="auto" w:fill="auto"/>
          </w:tcPr>
          <w:p w:rsidR="00A44D93" w:rsidRPr="00CA6498" w:rsidRDefault="00A45C68" w:rsidP="005967FA">
            <w:pPr>
              <w:spacing w:before="120" w:after="120"/>
              <w:jc w:val="both"/>
              <w:rPr>
                <w:sz w:val="22"/>
                <w:szCs w:val="22"/>
              </w:rPr>
            </w:pPr>
            <w:r>
              <w:rPr>
                <w:sz w:val="22"/>
                <w:szCs w:val="22"/>
              </w:rPr>
              <w:t>U</w:t>
            </w:r>
            <w:r w:rsidR="0010269B" w:rsidRPr="006A67E2">
              <w:rPr>
                <w:sz w:val="22"/>
                <w:szCs w:val="22"/>
              </w:rPr>
              <w:t>pon submission of necessary documents regarding First temporary situation (“</w:t>
            </w:r>
            <w:proofErr w:type="spellStart"/>
            <w:r w:rsidR="0010269B" w:rsidRPr="006A67E2">
              <w:rPr>
                <w:sz w:val="22"/>
                <w:szCs w:val="22"/>
              </w:rPr>
              <w:t>prva</w:t>
            </w:r>
            <w:proofErr w:type="spellEnd"/>
            <w:r w:rsidR="0010269B" w:rsidRPr="006A67E2">
              <w:rPr>
                <w:sz w:val="22"/>
                <w:szCs w:val="22"/>
              </w:rPr>
              <w:t xml:space="preserve"> </w:t>
            </w:r>
            <w:proofErr w:type="spellStart"/>
            <w:r w:rsidR="0010269B" w:rsidRPr="006A67E2">
              <w:rPr>
                <w:sz w:val="22"/>
                <w:szCs w:val="22"/>
              </w:rPr>
              <w:t>privremena</w:t>
            </w:r>
            <w:proofErr w:type="spellEnd"/>
            <w:r w:rsidR="0010269B" w:rsidRPr="006A67E2">
              <w:rPr>
                <w:sz w:val="22"/>
                <w:szCs w:val="22"/>
              </w:rPr>
              <w:t xml:space="preserve"> </w:t>
            </w:r>
            <w:proofErr w:type="spellStart"/>
            <w:r w:rsidR="0010269B" w:rsidRPr="006A67E2">
              <w:rPr>
                <w:sz w:val="22"/>
                <w:szCs w:val="22"/>
              </w:rPr>
              <w:t>situacija</w:t>
            </w:r>
            <w:proofErr w:type="spellEnd"/>
            <w:r w:rsidR="0010269B" w:rsidRPr="006A67E2">
              <w:rPr>
                <w:sz w:val="22"/>
                <w:szCs w:val="22"/>
              </w:rPr>
              <w:t>”) with approval of Supervisor, as a proof of performed works - min. 1 month from the commencement da</w:t>
            </w:r>
            <w:r w:rsidR="0010269B">
              <w:rPr>
                <w:sz w:val="22"/>
                <w:szCs w:val="22"/>
              </w:rPr>
              <w:t>y</w:t>
            </w:r>
          </w:p>
        </w:tc>
      </w:tr>
      <w:tr w:rsidR="00A44D93" w:rsidRPr="005967FA" w:rsidTr="00AB3C8C">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Up to 30</w:t>
            </w:r>
            <w:r w:rsidR="00A44D93" w:rsidRPr="00CA6498">
              <w:rPr>
                <w:sz w:val="22"/>
                <w:szCs w:val="22"/>
              </w:rPr>
              <w:t>%</w:t>
            </w:r>
          </w:p>
        </w:tc>
        <w:tc>
          <w:tcPr>
            <w:tcW w:w="2552" w:type="dxa"/>
            <w:shd w:val="clear" w:color="auto" w:fill="auto"/>
          </w:tcPr>
          <w:p w:rsidR="00A44D93" w:rsidRPr="00CA6498" w:rsidRDefault="00AB3C8C" w:rsidP="005967FA">
            <w:pPr>
              <w:spacing w:before="120" w:after="120"/>
              <w:jc w:val="both"/>
              <w:rPr>
                <w:sz w:val="22"/>
                <w:szCs w:val="22"/>
              </w:rPr>
            </w:pPr>
            <w:r w:rsidRPr="006A67E2">
              <w:rPr>
                <w:sz w:val="22"/>
                <w:szCs w:val="22"/>
              </w:rPr>
              <w:t>Second Interim payment</w:t>
            </w:r>
          </w:p>
        </w:tc>
        <w:tc>
          <w:tcPr>
            <w:tcW w:w="3890" w:type="dxa"/>
            <w:shd w:val="clear" w:color="auto" w:fill="auto"/>
          </w:tcPr>
          <w:p w:rsidR="00B77041" w:rsidRPr="005967FA" w:rsidRDefault="00A45C68" w:rsidP="00215FF5">
            <w:pPr>
              <w:spacing w:before="120" w:after="120"/>
              <w:jc w:val="both"/>
              <w:rPr>
                <w:sz w:val="22"/>
                <w:szCs w:val="22"/>
              </w:rPr>
            </w:pPr>
            <w:r>
              <w:rPr>
                <w:sz w:val="22"/>
                <w:szCs w:val="22"/>
              </w:rPr>
              <w:t>U</w:t>
            </w:r>
            <w:r w:rsidR="00AB3C8C" w:rsidRPr="006A67E2">
              <w:rPr>
                <w:sz w:val="22"/>
                <w:szCs w:val="22"/>
              </w:rPr>
              <w:t>pon submission of necessary documents regarding Second</w:t>
            </w:r>
            <w:r w:rsidR="00AB3C8C" w:rsidRPr="006A67E2" w:rsidDel="00DD7FF3">
              <w:rPr>
                <w:sz w:val="22"/>
                <w:szCs w:val="22"/>
              </w:rPr>
              <w:t xml:space="preserve"> </w:t>
            </w:r>
            <w:r w:rsidR="00AB3C8C" w:rsidRPr="006A67E2">
              <w:rPr>
                <w:sz w:val="22"/>
                <w:szCs w:val="22"/>
              </w:rPr>
              <w:t>temporary situation (“</w:t>
            </w:r>
            <w:proofErr w:type="spellStart"/>
            <w:r w:rsidR="00AB3C8C" w:rsidRPr="006A67E2">
              <w:rPr>
                <w:sz w:val="22"/>
                <w:szCs w:val="22"/>
              </w:rPr>
              <w:t>druga</w:t>
            </w:r>
            <w:proofErr w:type="spellEnd"/>
            <w:r w:rsidR="00AB3C8C" w:rsidRPr="006A67E2">
              <w:rPr>
                <w:sz w:val="22"/>
                <w:szCs w:val="22"/>
              </w:rPr>
              <w:t xml:space="preserve"> </w:t>
            </w:r>
            <w:proofErr w:type="spellStart"/>
            <w:r w:rsidR="00AB3C8C" w:rsidRPr="006A67E2">
              <w:rPr>
                <w:sz w:val="22"/>
                <w:szCs w:val="22"/>
              </w:rPr>
              <w:t>privremena</w:t>
            </w:r>
            <w:proofErr w:type="spellEnd"/>
            <w:r w:rsidR="00AB3C8C" w:rsidRPr="006A67E2">
              <w:rPr>
                <w:sz w:val="22"/>
                <w:szCs w:val="22"/>
              </w:rPr>
              <w:t xml:space="preserve"> </w:t>
            </w:r>
            <w:proofErr w:type="spellStart"/>
            <w:r w:rsidR="00AB3C8C" w:rsidRPr="006A67E2">
              <w:rPr>
                <w:sz w:val="22"/>
                <w:szCs w:val="22"/>
              </w:rPr>
              <w:t>situacija</w:t>
            </w:r>
            <w:proofErr w:type="spellEnd"/>
            <w:r w:rsidR="00AB3C8C" w:rsidRPr="006A67E2">
              <w:rPr>
                <w:sz w:val="22"/>
                <w:szCs w:val="22"/>
              </w:rPr>
              <w:t>”) with approval of Supervisor, as a proof of performed works - min. 3 months from the commencement da</w:t>
            </w:r>
            <w:r w:rsidR="00AB3C8C">
              <w:rPr>
                <w:sz w:val="22"/>
                <w:szCs w:val="22"/>
              </w:rPr>
              <w:t>y</w:t>
            </w:r>
          </w:p>
        </w:tc>
      </w:tr>
      <w:tr w:rsidR="00A44D93" w:rsidRPr="005967FA" w:rsidTr="00AB3C8C">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4.</w:t>
            </w:r>
          </w:p>
        </w:tc>
        <w:tc>
          <w:tcPr>
            <w:tcW w:w="1276" w:type="dxa"/>
            <w:shd w:val="clear" w:color="auto" w:fill="auto"/>
          </w:tcPr>
          <w:p w:rsidR="00A44D93" w:rsidRPr="00CA6498" w:rsidRDefault="00AB3C8C" w:rsidP="005967FA">
            <w:pPr>
              <w:spacing w:before="120" w:after="120"/>
              <w:jc w:val="right"/>
              <w:rPr>
                <w:sz w:val="22"/>
                <w:szCs w:val="22"/>
              </w:rPr>
            </w:pPr>
            <w:r>
              <w:rPr>
                <w:sz w:val="22"/>
                <w:szCs w:val="22"/>
              </w:rPr>
              <w:t>Min 40</w:t>
            </w:r>
            <w:r w:rsidR="00A44D93" w:rsidRPr="00CA6498">
              <w:rPr>
                <w:sz w:val="22"/>
                <w:szCs w:val="22"/>
              </w:rPr>
              <w:t>%</w:t>
            </w:r>
          </w:p>
        </w:tc>
        <w:tc>
          <w:tcPr>
            <w:tcW w:w="2552" w:type="dxa"/>
            <w:shd w:val="clear" w:color="auto" w:fill="auto"/>
          </w:tcPr>
          <w:p w:rsidR="00A44D93" w:rsidRPr="00CA6498" w:rsidRDefault="00AB3C8C" w:rsidP="00AB3C8C">
            <w:pPr>
              <w:spacing w:before="120" w:after="120"/>
              <w:jc w:val="both"/>
              <w:rPr>
                <w:sz w:val="22"/>
                <w:szCs w:val="22"/>
              </w:rPr>
            </w:pPr>
            <w:r>
              <w:rPr>
                <w:sz w:val="22"/>
                <w:szCs w:val="22"/>
              </w:rPr>
              <w:t xml:space="preserve">Final payment </w:t>
            </w:r>
          </w:p>
        </w:tc>
        <w:tc>
          <w:tcPr>
            <w:tcW w:w="3890" w:type="dxa"/>
            <w:shd w:val="clear" w:color="auto" w:fill="auto"/>
          </w:tcPr>
          <w:p w:rsidR="00A44D93" w:rsidRPr="00AB3C8C" w:rsidRDefault="00A45C68" w:rsidP="00AB3C8C">
            <w:pPr>
              <w:rPr>
                <w:color w:val="FFFFFF"/>
              </w:rPr>
            </w:pPr>
            <w:r>
              <w:rPr>
                <w:sz w:val="22"/>
                <w:szCs w:val="22"/>
              </w:rPr>
              <w:t>A</w:t>
            </w:r>
            <w:r w:rsidR="00AB3C8C" w:rsidRPr="006A67E2">
              <w:rPr>
                <w:sz w:val="22"/>
                <w:szCs w:val="22"/>
              </w:rPr>
              <w:t>fter the positive technical acceptance of works, supervisor approval and issuing of final acceptance – max. 12 months from the commencement da</w:t>
            </w:r>
            <w:r w:rsidR="00AB3C8C">
              <w:rPr>
                <w:sz w:val="22"/>
                <w:szCs w:val="22"/>
              </w:rPr>
              <w:t>y</w:t>
            </w:r>
          </w:p>
        </w:tc>
      </w:tr>
    </w:tbl>
    <w:p w:rsidR="00AB3C8C" w:rsidRDefault="00AB3C8C" w:rsidP="00AB3C8C">
      <w:pPr>
        <w:spacing w:before="240"/>
        <w:ind w:left="1276"/>
        <w:jc w:val="both"/>
        <w:rPr>
          <w:b/>
          <w:szCs w:val="24"/>
        </w:rPr>
      </w:pPr>
      <w:bookmarkStart w:id="25" w:name="_Toc76894443"/>
      <w:r w:rsidRPr="00AB3C8C">
        <w:rPr>
          <w:sz w:val="22"/>
          <w:szCs w:val="22"/>
        </w:rPr>
        <w:t xml:space="preserve">Payments will be authorised and made by the Municipality of </w:t>
      </w:r>
      <w:proofErr w:type="spellStart"/>
      <w:r w:rsidRPr="00AB3C8C">
        <w:rPr>
          <w:sz w:val="22"/>
          <w:szCs w:val="22"/>
        </w:rPr>
        <w:t>Bojnik</w:t>
      </w:r>
      <w:proofErr w:type="spellEnd"/>
      <w:r w:rsidRPr="00AB3C8C">
        <w:rPr>
          <w:sz w:val="22"/>
          <w:szCs w:val="22"/>
        </w:rPr>
        <w:t xml:space="preserve">, which is represented by </w:t>
      </w:r>
      <w:proofErr w:type="spellStart"/>
      <w:r w:rsidRPr="00AB3C8C">
        <w:rPr>
          <w:sz w:val="22"/>
          <w:szCs w:val="22"/>
        </w:rPr>
        <w:t>Nebojša</w:t>
      </w:r>
      <w:proofErr w:type="spellEnd"/>
      <w:r w:rsidRPr="00AB3C8C">
        <w:rPr>
          <w:sz w:val="22"/>
          <w:szCs w:val="22"/>
        </w:rPr>
        <w:t xml:space="preserve"> </w:t>
      </w:r>
      <w:proofErr w:type="spellStart"/>
      <w:r w:rsidRPr="00AB3C8C">
        <w:rPr>
          <w:sz w:val="22"/>
          <w:szCs w:val="22"/>
        </w:rPr>
        <w:t>Nenadović</w:t>
      </w:r>
      <w:proofErr w:type="spellEnd"/>
      <w:r w:rsidRPr="00AB3C8C">
        <w:rPr>
          <w:sz w:val="22"/>
          <w:szCs w:val="22"/>
        </w:rPr>
        <w:t>, the Mayor</w:t>
      </w:r>
      <w:r w:rsidR="00A45C68">
        <w:rPr>
          <w:sz w:val="22"/>
          <w:szCs w:val="22"/>
        </w:rPr>
        <w:t>.</w:t>
      </w:r>
      <w:bookmarkStart w:id="26" w:name="_GoBack"/>
      <w:bookmarkEnd w:id="26"/>
    </w:p>
    <w:p w:rsidR="001050EE" w:rsidRPr="00116CA6" w:rsidRDefault="001050EE" w:rsidP="00116CA6">
      <w:pPr>
        <w:spacing w:before="240"/>
        <w:ind w:left="1276" w:hanging="1276"/>
        <w:jc w:val="both"/>
        <w:rPr>
          <w:b/>
          <w:szCs w:val="24"/>
        </w:rPr>
      </w:pPr>
      <w:r w:rsidRPr="00116CA6">
        <w:rPr>
          <w:b/>
          <w:szCs w:val="24"/>
        </w:rPr>
        <w:t>Article 50</w:t>
      </w:r>
      <w:r w:rsidRPr="00116CA6">
        <w:rPr>
          <w:b/>
          <w:szCs w:val="24"/>
        </w:rPr>
        <w:tab/>
        <w:t>Interim payments</w:t>
      </w:r>
      <w:bookmarkEnd w:id="25"/>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B25087" w:rsidRPr="00F2670B" w:rsidRDefault="00BA692F" w:rsidP="00AB3C8C">
      <w:pPr>
        <w:tabs>
          <w:tab w:val="left" w:pos="615"/>
          <w:tab w:val="right" w:pos="5678"/>
        </w:tabs>
        <w:spacing w:before="120"/>
        <w:ind w:left="612" w:hanging="612"/>
        <w:jc w:val="both"/>
        <w:rPr>
          <w:szCs w:val="22"/>
        </w:rPr>
      </w:pPr>
      <w:r w:rsidRPr="00101855" w:rsidDel="00BA692F">
        <w:rPr>
          <w:sz w:val="22"/>
          <w:szCs w:val="22"/>
        </w:rPr>
        <w:t xml:space="preserve"> </w:t>
      </w:r>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4321C9" w:rsidRPr="0036136C" w:rsidRDefault="001050EE" w:rsidP="00AB3C8C">
      <w:pPr>
        <w:autoSpaceDE w:val="0"/>
        <w:autoSpaceDN w:val="0"/>
        <w:adjustRightInd w:val="0"/>
        <w:spacing w:before="120" w:after="120"/>
        <w:ind w:left="1276" w:hanging="709"/>
        <w:jc w:val="both"/>
        <w:rPr>
          <w:sz w:val="22"/>
          <w:szCs w:val="22"/>
          <w:highlight w:val="yellow"/>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AB3C8C" w:rsidRPr="00AB3C8C">
        <w:rPr>
          <w:spacing w:val="-3"/>
          <w:sz w:val="22"/>
          <w:szCs w:val="22"/>
        </w:rPr>
        <w:t xml:space="preserve">Any dispute arising out of or relating to this Contract which cannot be settled otherwise shall be referred to the </w:t>
      </w:r>
      <w:r w:rsidR="008F332A">
        <w:rPr>
          <w:spacing w:val="-3"/>
          <w:sz w:val="22"/>
          <w:szCs w:val="22"/>
        </w:rPr>
        <w:t>exclusive jurisdiction of the Court</w:t>
      </w:r>
      <w:r w:rsidR="00AB3C8C" w:rsidRPr="00AB3C8C">
        <w:rPr>
          <w:spacing w:val="-3"/>
          <w:sz w:val="22"/>
          <w:szCs w:val="22"/>
        </w:rPr>
        <w:t xml:space="preserve"> of </w:t>
      </w:r>
      <w:proofErr w:type="spellStart"/>
      <w:r w:rsidR="00AB3C8C" w:rsidRPr="00AB3C8C">
        <w:rPr>
          <w:spacing w:val="-3"/>
          <w:sz w:val="22"/>
          <w:szCs w:val="22"/>
        </w:rPr>
        <w:t>Leskovac</w:t>
      </w:r>
      <w:proofErr w:type="spellEnd"/>
      <w:r w:rsidR="00AB3C8C" w:rsidRPr="00AB3C8C">
        <w:rPr>
          <w:spacing w:val="-3"/>
          <w:sz w:val="22"/>
          <w:szCs w:val="22"/>
        </w:rPr>
        <w:t>, Serbia in accordance with the national legislation of the state of the Contracting Authority.</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even" r:id="rId10"/>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1FF" w:rsidRPr="00E725FE" w:rsidRDefault="00A531FF">
      <w:r w:rsidRPr="00E725FE">
        <w:separator/>
      </w:r>
    </w:p>
  </w:endnote>
  <w:endnote w:type="continuationSeparator" w:id="0">
    <w:p w:rsidR="00A531FF" w:rsidRPr="00E725FE" w:rsidRDefault="00A531F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Pr="00B3283E" w:rsidRDefault="00535F34" w:rsidP="00B3283E">
    <w:pPr>
      <w:pStyle w:val="Footer"/>
      <w:tabs>
        <w:tab w:val="clear" w:pos="4320"/>
        <w:tab w:val="clear" w:pos="8640"/>
        <w:tab w:val="right" w:pos="9214"/>
      </w:tabs>
      <w:ind w:right="5"/>
      <w:rPr>
        <w:rStyle w:val="PageNumber"/>
        <w:sz w:val="18"/>
        <w:szCs w:val="18"/>
      </w:rPr>
    </w:pPr>
    <w:r>
      <w:rPr>
        <w:b/>
        <w:sz w:val="18"/>
      </w:rPr>
      <w:t>July 2019</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A45C68">
      <w:rPr>
        <w:rStyle w:val="PageNumber"/>
        <w:noProof/>
        <w:sz w:val="18"/>
        <w:szCs w:val="18"/>
      </w:rPr>
      <w:t>1</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A45C68">
      <w:rPr>
        <w:rStyle w:val="PageNumber"/>
        <w:noProof/>
        <w:sz w:val="18"/>
        <w:szCs w:val="18"/>
      </w:rPr>
      <w:t>5</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1FF" w:rsidRPr="00E725FE" w:rsidRDefault="00A531FF">
      <w:r w:rsidRPr="00E725FE">
        <w:separator/>
      </w:r>
    </w:p>
  </w:footnote>
  <w:footnote w:type="continuationSeparator" w:id="0">
    <w:p w:rsidR="00A531FF" w:rsidRPr="00E725FE" w:rsidRDefault="00A531FF">
      <w:r w:rsidRPr="00E725F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A0" w:rsidRDefault="005F28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nsid w:val="48EE209F"/>
    <w:multiLevelType w:val="multilevel"/>
    <w:tmpl w:val="4D44A26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37"/>
        </w:tabs>
        <w:ind w:left="1137" w:hanging="57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7">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nsid w:val="4C1E5904"/>
    <w:multiLevelType w:val="hybridMultilevel"/>
    <w:tmpl w:val="4E8C9E9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663F4EAD"/>
    <w:multiLevelType w:val="hybridMultilevel"/>
    <w:tmpl w:val="166A495C"/>
    <w:lvl w:ilvl="0" w:tplc="241A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5"/>
  </w:num>
  <w:num w:numId="4">
    <w:abstractNumId w:val="0"/>
  </w:num>
  <w:num w:numId="5">
    <w:abstractNumId w:val="10"/>
    <w:lvlOverride w:ilvl="0">
      <w:startOverride w:val="1"/>
    </w:lvlOverride>
  </w:num>
  <w:num w:numId="6">
    <w:abstractNumId w:val="2"/>
  </w:num>
  <w:num w:numId="7">
    <w:abstractNumId w:val="7"/>
  </w:num>
  <w:num w:numId="8">
    <w:abstractNumId w:val="3"/>
  </w:num>
  <w:num w:numId="9">
    <w:abstractNumId w:val="1"/>
  </w:num>
  <w:num w:numId="10">
    <w:abstractNumId w:val="12"/>
  </w:num>
  <w:num w:numId="11">
    <w:abstractNumId w:val="11"/>
  </w:num>
  <w:num w:numId="12">
    <w:abstractNumId w:val="6"/>
  </w:num>
  <w:num w:numId="13">
    <w:abstractNumId w:val="9"/>
  </w:num>
  <w:num w:numId="1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269B"/>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2ED4"/>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3739"/>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00BB9"/>
    <w:rsid w:val="00612248"/>
    <w:rsid w:val="00615BB7"/>
    <w:rsid w:val="006218C2"/>
    <w:rsid w:val="00622351"/>
    <w:rsid w:val="00622857"/>
    <w:rsid w:val="00624333"/>
    <w:rsid w:val="006250B5"/>
    <w:rsid w:val="006316A2"/>
    <w:rsid w:val="0063320F"/>
    <w:rsid w:val="00641155"/>
    <w:rsid w:val="0064742B"/>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332A"/>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45C68"/>
    <w:rsid w:val="00A531FF"/>
    <w:rsid w:val="00A5429D"/>
    <w:rsid w:val="00A6752B"/>
    <w:rsid w:val="00A76A96"/>
    <w:rsid w:val="00A77ECC"/>
    <w:rsid w:val="00A81065"/>
    <w:rsid w:val="00A8166C"/>
    <w:rsid w:val="00A96863"/>
    <w:rsid w:val="00A96A4F"/>
    <w:rsid w:val="00AA1F74"/>
    <w:rsid w:val="00AA28A1"/>
    <w:rsid w:val="00AA515C"/>
    <w:rsid w:val="00AB3C8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1DF8"/>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1FC8"/>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C24A4"/>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office@bojnik.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pacbc-bgrs.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18E7-C31B-4F3D-9873-F0F903D14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5</Pages>
  <Words>1960</Words>
  <Characters>11173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KORISNIK</cp:lastModifiedBy>
  <cp:revision>6</cp:revision>
  <cp:lastPrinted>2014-02-12T13:59:00Z</cp:lastPrinted>
  <dcterms:created xsi:type="dcterms:W3CDTF">2020-01-09T21:11:00Z</dcterms:created>
  <dcterms:modified xsi:type="dcterms:W3CDTF">2020-01-10T11:50:00Z</dcterms:modified>
</cp:coreProperties>
</file>