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94456" w14:textId="77777777" w:rsidR="00EE1400" w:rsidRDefault="00EE1400">
      <w:pPr>
        <w:jc w:val="center"/>
        <w:rPr>
          <w:b/>
          <w:sz w:val="28"/>
          <w:szCs w:val="28"/>
          <w:lang w:val="en-GB"/>
        </w:rPr>
      </w:pPr>
    </w:p>
    <w:p w14:paraId="5EDCF569" w14:textId="334F7654" w:rsidR="006F5FD0" w:rsidRPr="00B33EE6" w:rsidRDefault="006F5FD0">
      <w:pPr>
        <w:jc w:val="center"/>
        <w:rPr>
          <w:rStyle w:val="Strong"/>
          <w:sz w:val="28"/>
          <w:szCs w:val="28"/>
          <w:lang w:val="en-GB"/>
        </w:rPr>
      </w:pPr>
      <w:bookmarkStart w:id="0" w:name="_GoBack"/>
      <w:bookmarkEnd w:id="0"/>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DBFB70D" w14:textId="6E52046B" w:rsidR="006F5FD0" w:rsidRPr="00B33EE6" w:rsidRDefault="00692142">
      <w:pPr>
        <w:jc w:val="center"/>
        <w:rPr>
          <w:sz w:val="28"/>
          <w:szCs w:val="28"/>
          <w:lang w:val="en-GB"/>
        </w:rPr>
      </w:pPr>
      <w:r w:rsidRPr="00692142">
        <w:rPr>
          <w:rStyle w:val="Strong"/>
          <w:sz w:val="28"/>
          <w:szCs w:val="28"/>
          <w:lang w:val="en-GB"/>
        </w:rPr>
        <w:t>Organization of events</w:t>
      </w:r>
      <w:r w:rsidR="006F5FD0" w:rsidRPr="00B33EE6">
        <w:rPr>
          <w:rStyle w:val="Strong"/>
          <w:sz w:val="28"/>
          <w:szCs w:val="28"/>
          <w:lang w:val="en-GB"/>
        </w:rPr>
        <w:br/>
      </w:r>
      <w:r w:rsidRPr="00692142">
        <w:rPr>
          <w:rStyle w:val="Strong"/>
          <w:sz w:val="28"/>
          <w:szCs w:val="28"/>
          <w:lang w:val="en-GB"/>
        </w:rPr>
        <w:t xml:space="preserve">Location: </w:t>
      </w:r>
      <w:r w:rsidRPr="00692142">
        <w:rPr>
          <w:rStyle w:val="Strong"/>
          <w:b w:val="0"/>
          <w:bCs/>
          <w:sz w:val="28"/>
          <w:szCs w:val="28"/>
          <w:lang w:val="en-GB"/>
        </w:rPr>
        <w:t>Vidin District in Bulgaria and Bor and Zaječar District in Serbia</w:t>
      </w:r>
    </w:p>
    <w:p w14:paraId="1EDE5BDF" w14:textId="77777777" w:rsidR="00571687" w:rsidRPr="00B33EE6" w:rsidRDefault="00571687" w:rsidP="00584BF4">
      <w:pPr>
        <w:ind w:left="709" w:hanging="349"/>
        <w:outlineLvl w:val="0"/>
        <w:rPr>
          <w:rStyle w:val="Strong"/>
          <w:sz w:val="22"/>
          <w:szCs w:val="22"/>
          <w:lang w:val="en-GB"/>
        </w:rPr>
      </w:pPr>
    </w:p>
    <w:p w14:paraId="53772DF0"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E2A254F" w14:textId="0914416B" w:rsidR="006F5FD0" w:rsidRPr="00B33EE6" w:rsidRDefault="00692142">
      <w:pPr>
        <w:pStyle w:val="Blockquote"/>
        <w:rPr>
          <w:i/>
          <w:sz w:val="22"/>
          <w:szCs w:val="22"/>
          <w:lang w:val="en-GB"/>
        </w:rPr>
      </w:pPr>
      <w:r w:rsidRPr="00692142">
        <w:rPr>
          <w:rStyle w:val="Emphasis"/>
          <w:i w:val="0"/>
          <w:sz w:val="22"/>
          <w:szCs w:val="22"/>
          <w:lang w:val="en-GB"/>
        </w:rPr>
        <w:t xml:space="preserve">CB007.2.13.045 – SoB 03/19  </w:t>
      </w:r>
    </w:p>
    <w:p w14:paraId="51E6085D"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00DBA843" w14:textId="716282C5" w:rsidR="006F5FD0" w:rsidRPr="00B33EE6" w:rsidRDefault="00AD1E4D" w:rsidP="00C867B9">
      <w:pPr>
        <w:pStyle w:val="Blockquote"/>
        <w:ind w:left="0"/>
        <w:jc w:val="both"/>
        <w:rPr>
          <w:sz w:val="22"/>
          <w:szCs w:val="22"/>
          <w:lang w:val="en-GB"/>
        </w:rPr>
      </w:pPr>
      <w:r w:rsidRPr="00692142">
        <w:rPr>
          <w:sz w:val="22"/>
          <w:szCs w:val="22"/>
          <w:lang w:val="en-GB"/>
        </w:rPr>
        <w:t xml:space="preserve">   Simplified</w:t>
      </w:r>
    </w:p>
    <w:p w14:paraId="05D2C8F7"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02746F2C" w14:textId="69AF5871" w:rsidR="00971962" w:rsidRPr="00B33EE6" w:rsidRDefault="00692142" w:rsidP="00B33EE6">
      <w:pPr>
        <w:pStyle w:val="PRAGHeading2"/>
        <w:numPr>
          <w:ilvl w:val="0"/>
          <w:numId w:val="0"/>
        </w:numPr>
        <w:ind w:left="357" w:right="357"/>
        <w:rPr>
          <w:lang w:val="en-GB"/>
        </w:rPr>
      </w:pPr>
      <w:r w:rsidRPr="00692142">
        <w:rPr>
          <w:lang w:val="en-GB"/>
        </w:rPr>
        <w:t>Interreg – IPA CBC Bulgaria – Serbia Programme (CCI No: 2014TC16I5CB007)</w:t>
      </w:r>
    </w:p>
    <w:p w14:paraId="47D995E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157975D" w14:textId="7027ED77" w:rsidR="00502217" w:rsidRPr="00B33EE6" w:rsidRDefault="00692142" w:rsidP="00502217">
      <w:pPr>
        <w:pStyle w:val="Blockquote"/>
        <w:jc w:val="both"/>
        <w:rPr>
          <w:sz w:val="22"/>
          <w:szCs w:val="22"/>
          <w:lang w:val="en-GB"/>
        </w:rPr>
      </w:pPr>
      <w:r w:rsidRPr="00692142">
        <w:rPr>
          <w:rStyle w:val="Emphasis"/>
          <w:i w:val="0"/>
          <w:sz w:val="22"/>
          <w:szCs w:val="22"/>
          <w:lang w:val="en-GB"/>
        </w:rPr>
        <w:t>The project is co-funded by the European Union, through Interreg – IPA CBC Bulgaria – Serbia Programme 2014-2020, CCI Number 2014TC16I5CB007, Subsidy contract No</w:t>
      </w:r>
      <w:r>
        <w:rPr>
          <w:rStyle w:val="Emphasis"/>
          <w:i w:val="0"/>
          <w:sz w:val="22"/>
          <w:szCs w:val="22"/>
          <w:lang w:val="en-GB"/>
        </w:rPr>
        <w:t>: RD 02-29-152/11.07.2019</w:t>
      </w:r>
    </w:p>
    <w:p w14:paraId="1856696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777263B5" w14:textId="77777777" w:rsidR="00692142" w:rsidRDefault="00692142" w:rsidP="00B33EE6">
      <w:pPr>
        <w:ind w:left="357" w:right="357"/>
        <w:jc w:val="both"/>
        <w:rPr>
          <w:rStyle w:val="Emphasis"/>
          <w:i w:val="0"/>
          <w:sz w:val="22"/>
          <w:szCs w:val="22"/>
          <w:lang w:val="en-GB"/>
        </w:rPr>
      </w:pPr>
      <w:r>
        <w:rPr>
          <w:rStyle w:val="Emphasis"/>
          <w:i w:val="0"/>
          <w:sz w:val="22"/>
          <w:szCs w:val="22"/>
          <w:lang w:val="en-GB"/>
        </w:rPr>
        <w:t>Association “Soul of the Balkans”, Trg Oslobiđenja 1, 19350 Knjaževac</w:t>
      </w:r>
    </w:p>
    <w:p w14:paraId="6A2E65F7" w14:textId="17495DF8" w:rsidR="006F5FD0" w:rsidRPr="00B33EE6" w:rsidRDefault="00EE1400">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0D37B243" wp14:editId="348CC409">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7F14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jfeVQIAALI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eotRlb778K3UeYg0DuG8zS8A0N9gY/Z&#10;30QGUQcOQd7YmT8f0ofVfDXPR/l4thrlaVWNPq2X+Wi2zu6n1aRaLqvsVwiZ5UUrGOMqiHSZkiz/&#10;uy4c5vXc39c5uZYjuUU/Mz+CWqDghXTsqtBI55bcaXba2Eu3wWBE42GIw+S9PcP+7a9m8Rs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3GY33l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110AB11D"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62396D1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501AF71A" w14:textId="1DEF4010" w:rsidR="006F5FD0" w:rsidRPr="00B33EE6" w:rsidRDefault="006F5FD0">
      <w:pPr>
        <w:pStyle w:val="Blockquote"/>
        <w:jc w:val="both"/>
        <w:rPr>
          <w:i/>
          <w:sz w:val="22"/>
          <w:szCs w:val="22"/>
          <w:lang w:val="en-GB"/>
        </w:rPr>
      </w:pPr>
      <w:r w:rsidRPr="00692142">
        <w:rPr>
          <w:rStyle w:val="Emphasis"/>
          <w:i w:val="0"/>
          <w:sz w:val="22"/>
          <w:szCs w:val="22"/>
          <w:lang w:val="en-GB"/>
        </w:rPr>
        <w:t>Global price</w:t>
      </w:r>
    </w:p>
    <w:p w14:paraId="358681EE"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4334701" w14:textId="509F289F" w:rsidR="006F5FD0" w:rsidRDefault="00692142">
      <w:pPr>
        <w:pStyle w:val="Blockquote"/>
        <w:jc w:val="both"/>
        <w:rPr>
          <w:rStyle w:val="Emphasis"/>
          <w:i w:val="0"/>
          <w:sz w:val="22"/>
          <w:szCs w:val="22"/>
          <w:lang w:val="en-GB"/>
        </w:rPr>
      </w:pPr>
      <w:r w:rsidRPr="00692142">
        <w:rPr>
          <w:rStyle w:val="Emphasis"/>
          <w:i w:val="0"/>
          <w:sz w:val="22"/>
          <w:szCs w:val="22"/>
          <w:lang w:val="en-GB"/>
        </w:rPr>
        <w:t xml:space="preserve">The subject of this contract is to provide services </w:t>
      </w:r>
      <w:r>
        <w:rPr>
          <w:rStyle w:val="Emphasis"/>
          <w:i w:val="0"/>
          <w:sz w:val="22"/>
          <w:szCs w:val="22"/>
          <w:lang w:val="en-GB"/>
        </w:rPr>
        <w:t xml:space="preserve">or organize </w:t>
      </w:r>
      <w:r w:rsidRPr="00692142">
        <w:rPr>
          <w:rStyle w:val="Emphasis"/>
          <w:i w:val="0"/>
          <w:sz w:val="22"/>
          <w:szCs w:val="22"/>
          <w:lang w:val="en-GB"/>
        </w:rPr>
        <w:t xml:space="preserve">the following events: </w:t>
      </w:r>
    </w:p>
    <w:p w14:paraId="7C19FFB8" w14:textId="77777777" w:rsidR="00692142" w:rsidRDefault="00692142" w:rsidP="00692142">
      <w:pPr>
        <w:pStyle w:val="ListParagraph"/>
        <w:numPr>
          <w:ilvl w:val="0"/>
          <w:numId w:val="44"/>
        </w:numPr>
        <w:rPr>
          <w:rFonts w:ascii="Times New Roman" w:hAnsi="Times New Roman"/>
        </w:rPr>
      </w:pPr>
      <w:r w:rsidRPr="005F7051">
        <w:rPr>
          <w:rFonts w:ascii="Times New Roman" w:hAnsi="Times New Roman"/>
        </w:rPr>
        <w:t>Accommodation for the project team members in Bulgaria and Eastern Serbia</w:t>
      </w:r>
    </w:p>
    <w:p w14:paraId="0C743201" w14:textId="77777777" w:rsidR="00692142" w:rsidRDefault="00692142" w:rsidP="00692142">
      <w:pPr>
        <w:pStyle w:val="ListParagraph"/>
        <w:numPr>
          <w:ilvl w:val="0"/>
          <w:numId w:val="44"/>
        </w:numPr>
        <w:rPr>
          <w:rFonts w:ascii="Times New Roman" w:hAnsi="Times New Roman"/>
        </w:rPr>
      </w:pPr>
      <w:r w:rsidRPr="005F7051">
        <w:rPr>
          <w:rFonts w:ascii="Times New Roman" w:hAnsi="Times New Roman"/>
        </w:rPr>
        <w:t xml:space="preserve">Training for tour operators and winemakers </w:t>
      </w:r>
    </w:p>
    <w:p w14:paraId="60AF0317" w14:textId="77777777" w:rsidR="00692142" w:rsidRDefault="00692142" w:rsidP="00692142">
      <w:pPr>
        <w:pStyle w:val="ListParagraph"/>
        <w:numPr>
          <w:ilvl w:val="0"/>
          <w:numId w:val="44"/>
        </w:numPr>
        <w:rPr>
          <w:rFonts w:ascii="Times New Roman" w:hAnsi="Times New Roman"/>
        </w:rPr>
      </w:pPr>
      <w:r w:rsidRPr="005F7051">
        <w:rPr>
          <w:rFonts w:ascii="Times New Roman" w:hAnsi="Times New Roman"/>
        </w:rPr>
        <w:t>Wine route Management Workshop</w:t>
      </w:r>
    </w:p>
    <w:p w14:paraId="35166212" w14:textId="77777777" w:rsidR="00692142" w:rsidRDefault="00692142" w:rsidP="00692142">
      <w:pPr>
        <w:pStyle w:val="ListParagraph"/>
        <w:numPr>
          <w:ilvl w:val="0"/>
          <w:numId w:val="44"/>
        </w:numPr>
        <w:rPr>
          <w:rFonts w:ascii="Times New Roman" w:hAnsi="Times New Roman"/>
        </w:rPr>
      </w:pPr>
      <w:r w:rsidRPr="005F7051">
        <w:rPr>
          <w:rFonts w:ascii="Times New Roman" w:hAnsi="Times New Roman"/>
        </w:rPr>
        <w:t>Traveling workshop for the exchange of experience</w:t>
      </w:r>
    </w:p>
    <w:p w14:paraId="36BD28C7" w14:textId="77777777" w:rsidR="00692142" w:rsidRDefault="00692142" w:rsidP="00692142">
      <w:pPr>
        <w:pStyle w:val="ListParagraph"/>
        <w:numPr>
          <w:ilvl w:val="0"/>
          <w:numId w:val="44"/>
        </w:numPr>
        <w:rPr>
          <w:rFonts w:ascii="Times New Roman" w:hAnsi="Times New Roman"/>
        </w:rPr>
      </w:pPr>
      <w:r w:rsidRPr="005F7051">
        <w:rPr>
          <w:rFonts w:ascii="Times New Roman" w:hAnsi="Times New Roman"/>
        </w:rPr>
        <w:t xml:space="preserve">Trainings for internet marketing </w:t>
      </w:r>
    </w:p>
    <w:p w14:paraId="11D224C6" w14:textId="77777777" w:rsidR="00692142" w:rsidRDefault="00692142" w:rsidP="00692142">
      <w:pPr>
        <w:pStyle w:val="ListParagraph"/>
        <w:numPr>
          <w:ilvl w:val="0"/>
          <w:numId w:val="44"/>
        </w:numPr>
        <w:rPr>
          <w:rFonts w:ascii="Times New Roman" w:hAnsi="Times New Roman"/>
        </w:rPr>
      </w:pPr>
      <w:r w:rsidRPr="005F7051">
        <w:rPr>
          <w:rFonts w:ascii="Times New Roman" w:hAnsi="Times New Roman"/>
        </w:rPr>
        <w:t>Cross Border Wine competition</w:t>
      </w:r>
    </w:p>
    <w:p w14:paraId="3BF35805" w14:textId="22C58039" w:rsidR="00692142" w:rsidRPr="00692142" w:rsidRDefault="00692142" w:rsidP="00692142">
      <w:pPr>
        <w:pStyle w:val="ListParagraph"/>
        <w:numPr>
          <w:ilvl w:val="0"/>
          <w:numId w:val="44"/>
        </w:numPr>
        <w:rPr>
          <w:rFonts w:ascii="Times New Roman" w:hAnsi="Times New Roman"/>
        </w:rPr>
      </w:pPr>
      <w:r w:rsidRPr="005F7051">
        <w:rPr>
          <w:rFonts w:ascii="Times New Roman" w:hAnsi="Times New Roman"/>
        </w:rPr>
        <w:t>Travel of participants to events in Bulgaria and Serbia</w:t>
      </w:r>
    </w:p>
    <w:p w14:paraId="3E37A60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7E99BB4" w14:textId="37F52733" w:rsidR="00E9047D" w:rsidRPr="00B33EE6" w:rsidRDefault="00364564" w:rsidP="00584BF4">
      <w:pPr>
        <w:ind w:left="709" w:hanging="349"/>
        <w:outlineLvl w:val="0"/>
        <w:rPr>
          <w:rStyle w:val="Emphasis"/>
          <w:i w:val="0"/>
          <w:sz w:val="22"/>
          <w:szCs w:val="22"/>
          <w:lang w:val="en-GB"/>
        </w:rPr>
      </w:pPr>
      <w:r w:rsidRPr="00692142">
        <w:rPr>
          <w:rStyle w:val="Emphasis"/>
          <w:i w:val="0"/>
          <w:sz w:val="22"/>
          <w:szCs w:val="22"/>
          <w:lang w:val="en-GB"/>
        </w:rPr>
        <w:t>O</w:t>
      </w:r>
      <w:r w:rsidR="00DA0ABA" w:rsidRPr="00692142">
        <w:rPr>
          <w:rStyle w:val="Emphasis"/>
          <w:i w:val="0"/>
          <w:sz w:val="22"/>
          <w:szCs w:val="22"/>
          <w:lang w:val="en-GB"/>
        </w:rPr>
        <w:t>ne lot only</w:t>
      </w:r>
    </w:p>
    <w:p w14:paraId="327AB22F"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58C15D25" w14:textId="77777777" w:rsidR="0028124F" w:rsidRDefault="0028124F" w:rsidP="00584BF4">
      <w:pPr>
        <w:ind w:left="709" w:hanging="349"/>
        <w:outlineLvl w:val="0"/>
        <w:rPr>
          <w:rStyle w:val="Strong"/>
          <w:b w:val="0"/>
          <w:sz w:val="22"/>
          <w:szCs w:val="22"/>
          <w:lang w:val="en-GB"/>
        </w:rPr>
      </w:pPr>
      <w:r w:rsidRPr="0028124F">
        <w:rPr>
          <w:rStyle w:val="Strong"/>
          <w:b w:val="0"/>
          <w:sz w:val="22"/>
          <w:szCs w:val="22"/>
          <w:lang w:val="en-GB"/>
        </w:rPr>
        <w:t xml:space="preserve">12.786 EUR </w:t>
      </w:r>
    </w:p>
    <w:p w14:paraId="01DB390C" w14:textId="7F947302" w:rsidR="006F5FD0" w:rsidRPr="00B33EE6" w:rsidRDefault="00EE1400">
      <w:pPr>
        <w:pStyle w:val="Blockquote"/>
        <w:jc w:val="both"/>
        <w:rPr>
          <w:sz w:val="22"/>
          <w:szCs w:val="22"/>
          <w:lang w:val="en-GB"/>
        </w:rPr>
      </w:pPr>
      <w:r>
        <w:rPr>
          <w:noProof/>
          <w:snapToGrid/>
          <w:sz w:val="22"/>
          <w:szCs w:val="22"/>
          <w:lang w:val="en-GB"/>
        </w:rPr>
        <w:lastRenderedPageBreak/>
        <mc:AlternateContent>
          <mc:Choice Requires="wps">
            <w:drawing>
              <wp:anchor distT="0" distB="0" distL="114300" distR="114300" simplePos="0" relativeHeight="251656704" behindDoc="0" locked="0" layoutInCell="0" allowOverlap="1" wp14:anchorId="2CBE6FFC" wp14:editId="0C60FB4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8B257"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eJVQIAALI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" o:allowincell="f" strokecolor="#d4d4d4" strokeweight="1.75pt">
                <v:shadow on="t" offset="0,-1pt"/>
              </v:line>
            </w:pict>
          </mc:Fallback>
        </mc:AlternateContent>
      </w:r>
    </w:p>
    <w:p w14:paraId="5228264C"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69522081"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0EB5DF1D" w14:textId="37DDB5AE" w:rsidR="00D93082" w:rsidRPr="0028124F" w:rsidRDefault="00D93082" w:rsidP="0028124F">
      <w:pPr>
        <w:widowControl/>
        <w:spacing w:before="0" w:after="0"/>
        <w:ind w:left="425"/>
        <w:jc w:val="both"/>
        <w:rPr>
          <w:sz w:val="22"/>
          <w:szCs w:val="22"/>
          <w:lang w:val="en-GB"/>
        </w:rPr>
      </w:pPr>
      <w:r w:rsidRPr="0028124F">
        <w:rPr>
          <w:sz w:val="22"/>
          <w:szCs w:val="22"/>
          <w:lang w:val="en-GB"/>
        </w:rPr>
        <w:t xml:space="preserve">Participation is open to all </w:t>
      </w:r>
      <w:r w:rsidRPr="0028124F">
        <w:rPr>
          <w:rFonts w:eastAsia="Calibri" w:cs="Arial"/>
          <w:szCs w:val="24"/>
          <w:lang w:val="en-GB"/>
        </w:rPr>
        <w:t xml:space="preserve">natural persons who are nationals of and </w:t>
      </w:r>
      <w:r w:rsidRPr="0028124F">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28124F">
        <w:rPr>
          <w:rFonts w:eastAsia="Calibri" w:cs="Arial"/>
          <w:bCs/>
          <w:szCs w:val="24"/>
          <w:lang w:val="en-GB"/>
        </w:rPr>
        <w:t xml:space="preserve">the Regulation </w:t>
      </w:r>
      <w:r w:rsidRPr="0028124F">
        <w:rPr>
          <w:szCs w:val="24"/>
          <w:lang w:val="en-GB"/>
        </w:rPr>
        <w:t xml:space="preserve">(EU) </w:t>
      </w:r>
      <w:r w:rsidR="00FE4E4B" w:rsidRPr="0028124F">
        <w:rPr>
          <w:szCs w:val="24"/>
          <w:lang w:val="en-GB"/>
        </w:rPr>
        <w:t>No </w:t>
      </w:r>
      <w:r w:rsidRPr="0028124F">
        <w:rPr>
          <w:rFonts w:eastAsia="MS Mincho"/>
          <w:noProof/>
          <w:szCs w:val="24"/>
          <w:lang w:val="en-GB" w:eastAsia="ja-JP"/>
        </w:rPr>
        <w:t xml:space="preserve">236/2014 </w:t>
      </w:r>
      <w:r w:rsidRPr="0028124F">
        <w:rPr>
          <w:rFonts w:eastAsia="Calibri" w:cs="Arial"/>
          <w:bCs/>
          <w:szCs w:val="24"/>
          <w:lang w:val="en-GB"/>
        </w:rPr>
        <w:t xml:space="preserve">establishing common rules and procedures for the implementation of the Union's instruments for external action (CIR) </w:t>
      </w:r>
      <w:r w:rsidRPr="0028124F">
        <w:rPr>
          <w:sz w:val="22"/>
          <w:szCs w:val="22"/>
          <w:lang w:val="en-GB"/>
        </w:rPr>
        <w:t xml:space="preserve">for the applicable </w:t>
      </w:r>
      <w:r w:rsidR="00FE4E4B" w:rsidRPr="0028124F">
        <w:rPr>
          <w:sz w:val="22"/>
          <w:szCs w:val="22"/>
          <w:lang w:val="en-GB"/>
        </w:rPr>
        <w:t>i</w:t>
      </w:r>
      <w:r w:rsidRPr="0028124F">
        <w:rPr>
          <w:sz w:val="22"/>
          <w:szCs w:val="22"/>
          <w:lang w:val="en-GB"/>
        </w:rPr>
        <w:t>nstrument under which the contract is financed (see also heading 2</w:t>
      </w:r>
      <w:r w:rsidR="00A504E1" w:rsidRPr="0028124F">
        <w:rPr>
          <w:sz w:val="22"/>
          <w:szCs w:val="22"/>
          <w:lang w:val="en-GB"/>
        </w:rPr>
        <w:t>3</w:t>
      </w:r>
      <w:r w:rsidRPr="0028124F">
        <w:rPr>
          <w:sz w:val="22"/>
          <w:szCs w:val="22"/>
          <w:lang w:val="en-GB"/>
        </w:rPr>
        <w:t xml:space="preserve"> below)</w:t>
      </w:r>
      <w:r w:rsidRPr="0028124F">
        <w:rPr>
          <w:rFonts w:eastAsia="Calibri" w:cs="Arial"/>
          <w:szCs w:val="24"/>
          <w:lang w:val="en-GB"/>
        </w:rPr>
        <w:t>.</w:t>
      </w:r>
      <w:r w:rsidRPr="0028124F">
        <w:rPr>
          <w:rFonts w:eastAsia="Calibri" w:cs="Arial"/>
          <w:sz w:val="22"/>
          <w:szCs w:val="22"/>
          <w:lang w:val="en-GB"/>
        </w:rPr>
        <w:t xml:space="preserve"> </w:t>
      </w:r>
      <w:r w:rsidRPr="0028124F">
        <w:rPr>
          <w:sz w:val="22"/>
          <w:szCs w:val="22"/>
          <w:lang w:val="en-GB"/>
        </w:rPr>
        <w:t>Participation is also open to international organisations.</w:t>
      </w:r>
      <w:bookmarkStart w:id="1" w:name="_DV_M201"/>
      <w:bookmarkEnd w:id="1"/>
      <w:r w:rsidRPr="0028124F">
        <w:rPr>
          <w:rFonts w:eastAsia="Calibri" w:cs="Arial"/>
          <w:noProof/>
          <w:sz w:val="22"/>
          <w:szCs w:val="22"/>
          <w:lang w:val="en-GB"/>
        </w:rPr>
        <w:t xml:space="preserve">] </w:t>
      </w:r>
      <w:r w:rsidRPr="0028124F">
        <w:rPr>
          <w:sz w:val="22"/>
          <w:szCs w:val="22"/>
          <w:lang w:val="en-GB"/>
        </w:rPr>
        <w:t xml:space="preserve"> </w:t>
      </w:r>
    </w:p>
    <w:p w14:paraId="6856AD51" w14:textId="77777777" w:rsidR="0028124F" w:rsidRDefault="0028124F" w:rsidP="0028124F">
      <w:pPr>
        <w:widowControl/>
        <w:spacing w:before="0" w:after="0"/>
        <w:ind w:left="425"/>
        <w:jc w:val="both"/>
        <w:rPr>
          <w:sz w:val="22"/>
          <w:szCs w:val="22"/>
          <w:lang w:val="en-GB"/>
        </w:rPr>
      </w:pPr>
    </w:p>
    <w:p w14:paraId="14D6396E" w14:textId="1EE59375" w:rsidR="00D93082" w:rsidRPr="0028124F" w:rsidRDefault="00B766F9" w:rsidP="0028124F">
      <w:pPr>
        <w:widowControl/>
        <w:spacing w:before="0" w:after="0"/>
        <w:ind w:left="425"/>
        <w:jc w:val="both"/>
        <w:rPr>
          <w:sz w:val="22"/>
          <w:szCs w:val="22"/>
          <w:lang w:val="en-GB"/>
        </w:rPr>
      </w:pPr>
      <w:r w:rsidRPr="0028124F">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7965EE8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67D7CE6"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E84DAD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CC4943"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2D23838E"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467AADE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6B6F915F"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228EAC4" w14:textId="459C13B8" w:rsidR="006F5FD0" w:rsidRPr="00B33EE6" w:rsidRDefault="00EE1400">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20DAE081" wp14:editId="62F7559B">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63536"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gxGVgIAALI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" o:allowincell="f" strokecolor="#d4d4d4" strokeweight="1.75pt">
                <v:shadow on="t" offset="0,-1pt"/>
              </v:line>
            </w:pict>
          </mc:Fallback>
        </mc:AlternateContent>
      </w:r>
      <w:r w:rsidR="006F5FD0" w:rsidRPr="00B33EE6">
        <w:rPr>
          <w:rStyle w:val="Strong"/>
          <w:sz w:val="28"/>
          <w:szCs w:val="28"/>
          <w:lang w:val="en-GB"/>
        </w:rPr>
        <w:t>PROVISIONAL TIMETABLE</w:t>
      </w:r>
    </w:p>
    <w:p w14:paraId="66C3216A"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66E5D2E5" w14:textId="3E9FBEA8" w:rsidR="006F5FD0" w:rsidRPr="00B33EE6" w:rsidRDefault="0028124F" w:rsidP="00571687">
      <w:pPr>
        <w:pStyle w:val="Blockquote"/>
        <w:jc w:val="both"/>
        <w:rPr>
          <w:i/>
          <w:sz w:val="22"/>
          <w:szCs w:val="22"/>
          <w:lang w:val="en-GB"/>
        </w:rPr>
      </w:pPr>
      <w:r>
        <w:rPr>
          <w:rStyle w:val="Emphasis"/>
          <w:i w:val="0"/>
          <w:sz w:val="22"/>
          <w:szCs w:val="22"/>
          <w:lang w:val="en-GB"/>
        </w:rPr>
        <w:t>10.10.2019</w:t>
      </w:r>
    </w:p>
    <w:p w14:paraId="19D890E8"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243BD579" w14:textId="462832CE" w:rsidR="006F5FD0" w:rsidRPr="00B33EE6" w:rsidRDefault="0028124F" w:rsidP="00571687">
      <w:pPr>
        <w:pStyle w:val="Blockquote"/>
        <w:jc w:val="both"/>
        <w:rPr>
          <w:i/>
          <w:sz w:val="22"/>
          <w:szCs w:val="22"/>
          <w:lang w:val="en-GB"/>
        </w:rPr>
      </w:pPr>
      <w:r>
        <w:rPr>
          <w:rStyle w:val="Emphasis"/>
          <w:i w:val="0"/>
          <w:sz w:val="22"/>
          <w:szCs w:val="22"/>
          <w:lang w:val="en-GB"/>
        </w:rPr>
        <w:t xml:space="preserve">9 (Nine) months </w:t>
      </w:r>
    </w:p>
    <w:p w14:paraId="2679377C" w14:textId="6D3A938B" w:rsidR="006F5FD0" w:rsidRPr="00B33EE6" w:rsidRDefault="00EE1400">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07E3730F" wp14:editId="7F1BEC06">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0DB14"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ItZVQIAALI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RL3FyGr/Xfg2yhwEesdwloZ3YKgv8DH7&#10;m8gg6sAhyBs78+dD+rCarWb5KB8Xq1Ge1vXo03qZj4p1dj+tJ/VyWWe/QsgsL1vBGFdBpMuUZPnf&#10;deEwr+f+vs7JtRzJLfqZ+RHUAgUvpGNXhUY6t+RWs9PGXroNBiMaD0McJu/tGfZvfzWL3wA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GFCLWV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13525030"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57DB077F"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23968675"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w:t>
      </w:r>
      <w:r w:rsidR="006751D2" w:rsidRPr="00B33EE6">
        <w:rPr>
          <w:sz w:val="22"/>
          <w:szCs w:val="22"/>
          <w:lang w:val="en-GB"/>
        </w:rPr>
        <w:lastRenderedPageBreak/>
        <w:t>specified otherwise. The selection criteria will not be applied to natural persons and single-member companies when they are sub-contractors.</w:t>
      </w:r>
    </w:p>
    <w:p w14:paraId="60B10B3F"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24B42A46" w14:textId="505C19D4" w:rsidR="0028124F" w:rsidRPr="0028124F" w:rsidRDefault="0028124F" w:rsidP="0028124F">
      <w:pPr>
        <w:pStyle w:val="Blockquote"/>
        <w:numPr>
          <w:ilvl w:val="0"/>
          <w:numId w:val="36"/>
        </w:numPr>
        <w:shd w:val="clear" w:color="auto" w:fill="FFFFFF" w:themeFill="background1"/>
        <w:tabs>
          <w:tab w:val="clear" w:pos="360"/>
          <w:tab w:val="num" w:pos="720"/>
        </w:tabs>
        <w:ind w:left="720"/>
        <w:jc w:val="both"/>
        <w:rPr>
          <w:sz w:val="22"/>
          <w:szCs w:val="22"/>
          <w:lang w:val="en-GB"/>
        </w:rPr>
      </w:pPr>
      <w:r w:rsidRPr="0028124F">
        <w:rPr>
          <w:sz w:val="22"/>
          <w:szCs w:val="22"/>
          <w:lang w:val="en-GB"/>
        </w:rPr>
        <w:t>the average annual turnover of the tenderer must exceed the maximum budget of the contract.</w:t>
      </w:r>
    </w:p>
    <w:p w14:paraId="0EF023FF"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2DA19713"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5762284" w14:textId="15D3F57C" w:rsidR="0075719D" w:rsidRPr="0075719D" w:rsidRDefault="006F5FD0" w:rsidP="0075719D">
      <w:pPr>
        <w:pStyle w:val="Blockquote"/>
        <w:numPr>
          <w:ilvl w:val="0"/>
          <w:numId w:val="34"/>
        </w:numPr>
        <w:shd w:val="clear" w:color="auto" w:fill="FFFFFF" w:themeFill="background1"/>
        <w:tabs>
          <w:tab w:val="clear" w:pos="360"/>
          <w:tab w:val="num" w:pos="720"/>
        </w:tabs>
        <w:ind w:left="720"/>
        <w:jc w:val="both"/>
        <w:rPr>
          <w:sz w:val="22"/>
          <w:szCs w:val="22"/>
          <w:lang w:val="en-GB"/>
        </w:rPr>
      </w:pPr>
      <w:r w:rsidRPr="00B33EE6">
        <w:rPr>
          <w:sz w:val="22"/>
          <w:szCs w:val="22"/>
          <w:lang w:val="en-GB"/>
        </w:rPr>
        <w:t>has sufficient ongoing staff resources and expertise to be able to handle the proposed contract</w:t>
      </w:r>
      <w:r w:rsidR="0075719D">
        <w:rPr>
          <w:sz w:val="22"/>
          <w:szCs w:val="22"/>
          <w:lang w:val="en-GB"/>
        </w:rPr>
        <w:t xml:space="preserve">, that’s mean </w:t>
      </w:r>
      <w:r w:rsidR="0075719D" w:rsidRPr="0075719D">
        <w:rPr>
          <w:sz w:val="22"/>
          <w:szCs w:val="22"/>
          <w:lang w:val="en-GB"/>
        </w:rPr>
        <w:t xml:space="preserve">at least one staff currently work for the tenderer in fields related to this contract (Occupations Tourismologist or Manager in Tourism or Economist or similar are welcomed).   </w:t>
      </w:r>
    </w:p>
    <w:p w14:paraId="65EC99E8" w14:textId="6FAA990A"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sidRPr="0075719D">
        <w:rPr>
          <w:b/>
          <w:sz w:val="22"/>
          <w:szCs w:val="22"/>
          <w:u w:val="single"/>
          <w:lang w:val="en-GB"/>
        </w:rPr>
        <w:t>tenderer</w:t>
      </w:r>
      <w:r w:rsidR="006F5FD0" w:rsidRPr="0075719D">
        <w:rPr>
          <w:b/>
          <w:sz w:val="22"/>
          <w:szCs w:val="22"/>
          <w:u w:val="single"/>
          <w:lang w:val="en-GB"/>
        </w:rPr>
        <w:t xml:space="preserve"> </w:t>
      </w:r>
      <w:r w:rsidR="00087A72" w:rsidRPr="0075719D">
        <w:rPr>
          <w:sz w:val="22"/>
          <w:szCs w:val="22"/>
          <w:lang w:val="en-GB"/>
        </w:rPr>
        <w:t>(</w:t>
      </w:r>
      <w:r w:rsidR="006F5FD0" w:rsidRPr="0075719D">
        <w:rPr>
          <w:sz w:val="22"/>
          <w:szCs w:val="22"/>
          <w:lang w:val="en-GB"/>
        </w:rPr>
        <w:t xml:space="preserve">based on items 5 and 6 of the </w:t>
      </w:r>
      <w:r w:rsidR="00994EA3" w:rsidRPr="0075719D">
        <w:rPr>
          <w:sz w:val="22"/>
          <w:szCs w:val="22"/>
          <w:lang w:val="en-GB"/>
        </w:rPr>
        <w:t>tender</w:t>
      </w:r>
      <w:r w:rsidR="006F5FD0" w:rsidRPr="0075719D">
        <w:rPr>
          <w:sz w:val="22"/>
          <w:szCs w:val="22"/>
          <w:lang w:val="en-GB"/>
        </w:rPr>
        <w:t xml:space="preserve"> form</w:t>
      </w:r>
      <w:r w:rsidR="00087A72" w:rsidRPr="0075719D">
        <w:rPr>
          <w:sz w:val="22"/>
          <w:szCs w:val="22"/>
          <w:lang w:val="en-GB"/>
        </w:rPr>
        <w:t>)</w:t>
      </w:r>
      <w:r w:rsidR="00BE08EC" w:rsidRPr="0075719D">
        <w:rPr>
          <w:sz w:val="22"/>
          <w:szCs w:val="22"/>
          <w:lang w:val="en-GB"/>
        </w:rPr>
        <w:t>. The reference period which will be taken into account will be the last three</w:t>
      </w:r>
      <w:r w:rsidR="00862885" w:rsidRPr="0075719D">
        <w:rPr>
          <w:sz w:val="22"/>
          <w:szCs w:val="22"/>
          <w:lang w:val="en-GB"/>
        </w:rPr>
        <w:t xml:space="preserve"> years </w:t>
      </w:r>
      <w:r w:rsidR="00771F97" w:rsidRPr="0075719D">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6228E305" w14:textId="1546D3B2" w:rsidR="001661F7" w:rsidRPr="00B33EE6" w:rsidRDefault="00BE783C" w:rsidP="0075719D">
      <w:pPr>
        <w:pStyle w:val="Blockquote"/>
        <w:numPr>
          <w:ilvl w:val="0"/>
          <w:numId w:val="34"/>
        </w:numPr>
        <w:shd w:val="clear" w:color="auto" w:fill="FFFFFF" w:themeFill="background1"/>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w:t>
      </w:r>
      <w:r w:rsidR="0075719D">
        <w:rPr>
          <w:sz w:val="22"/>
          <w:szCs w:val="22"/>
          <w:lang w:val="en-GB"/>
        </w:rPr>
        <w:t xml:space="preserve">1 </w:t>
      </w:r>
      <w:r w:rsidR="00EE1400">
        <w:rPr>
          <w:sz w:val="22"/>
          <w:szCs w:val="22"/>
          <w:lang w:val="en-GB"/>
        </w:rPr>
        <w:t xml:space="preserve">(one) </w:t>
      </w:r>
      <w:r w:rsidR="001661F7" w:rsidRPr="00B33EE6">
        <w:rPr>
          <w:sz w:val="22"/>
          <w:szCs w:val="22"/>
          <w:lang w:val="en-GB"/>
        </w:rPr>
        <w:t xml:space="preserve">contract </w:t>
      </w:r>
      <w:r w:rsidRPr="00B33EE6">
        <w:rPr>
          <w:sz w:val="22"/>
          <w:szCs w:val="22"/>
          <w:lang w:val="en-GB"/>
        </w:rPr>
        <w:t xml:space="preserve">with a budget of at least that of this contract in </w:t>
      </w:r>
      <w:r w:rsidR="0075719D" w:rsidRPr="0075719D">
        <w:rPr>
          <w:sz w:val="22"/>
          <w:szCs w:val="22"/>
          <w:lang w:val="en-GB"/>
        </w:rPr>
        <w:t xml:space="preserve">similar fields (e.g. organization of trainings, seminars, conferences etc.)  </w:t>
      </w:r>
      <w:r w:rsidR="001661F7" w:rsidRPr="00B33EE6">
        <w:rPr>
          <w:sz w:val="22"/>
          <w:szCs w:val="22"/>
          <w:lang w:val="en-GB"/>
        </w:rPr>
        <w:t xml:space="preserve">which was implemented at any moment during the following period: </w:t>
      </w:r>
      <w:r w:rsidR="0075719D">
        <w:rPr>
          <w:sz w:val="22"/>
          <w:szCs w:val="22"/>
          <w:lang w:val="en-GB"/>
        </w:rPr>
        <w:t>03.09. 2016 – 03.09.2019</w:t>
      </w:r>
      <w:r w:rsidR="001661F7" w:rsidRPr="00B33EE6">
        <w:rPr>
          <w:sz w:val="22"/>
          <w:szCs w:val="22"/>
          <w:lang w:val="en-GB"/>
        </w:rPr>
        <w:t>.</w:t>
      </w:r>
    </w:p>
    <w:p w14:paraId="7A24E7D0"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74DE205A"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088C1E6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0276F2B8"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284A3125" w14:textId="5E0E8E0D" w:rsidR="006F5FD0" w:rsidRPr="00B33EE6" w:rsidRDefault="00EE1400">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3BC1B0C9" wp14:editId="322F5CF9">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3B6B2"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UxVQIAALI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RL3FyGr/Xfg2yhwEesdwnoZ3YKgv8DH7&#10;m8gg6sAhyBs78+dD+rCar+b5KJ/MVqM8rarRp/UyH83W2f20uquWyyr7FUJmedEKxrgKIl2mJMv/&#10;rguHeT3393VOruVIbtHPzI+gFih4IR27KjTSuSV3mp229tJtMBjReBjiMHlvz7B/+6tZ/AY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qj7lMV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414C2A0A"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21F5AB0F"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14:paraId="68B027BA"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48F0FD23"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602BF723"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1B4E83D"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643E1C90" w14:textId="77777777" w:rsidR="004D5EDB" w:rsidRPr="00B33EE6" w:rsidRDefault="009A52B8"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3DDAA731"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084CC55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043B5979"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73E439A4"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15843BBF"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0CF4C8E9"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25CC40CD"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7DECE1E"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29961FFA"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7F5593CE"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1144BD0"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392895C9" w14:textId="77777777" w:rsidR="00EE1400" w:rsidRPr="00121B62" w:rsidRDefault="00EE1400" w:rsidP="00EE1400">
      <w:pPr>
        <w:pStyle w:val="Blockquote"/>
        <w:jc w:val="both"/>
        <w:rPr>
          <w:sz w:val="22"/>
          <w:szCs w:val="22"/>
          <w:lang w:val="en-GB"/>
        </w:rPr>
      </w:pPr>
      <w:r w:rsidRPr="00121B62">
        <w:rPr>
          <w:sz w:val="22"/>
          <w:szCs w:val="22"/>
          <w:lang w:val="en-GB"/>
        </w:rPr>
        <w:t xml:space="preserve">Regulation (EU) No 236/2014 of the European Parliament and of the Council of 11 March 2014 laying down common rules and procedures for the implementation of the Union's instruments for financing external action </w:t>
      </w:r>
    </w:p>
    <w:p w14:paraId="6507039A" w14:textId="77777777" w:rsidR="00EE1400" w:rsidRPr="00121B62" w:rsidRDefault="00EE1400" w:rsidP="00EE1400">
      <w:pPr>
        <w:pStyle w:val="Blockquote"/>
        <w:jc w:val="both"/>
        <w:rPr>
          <w:sz w:val="22"/>
          <w:szCs w:val="22"/>
          <w:lang w:val="en-GB"/>
        </w:rPr>
      </w:pPr>
      <w:r w:rsidRPr="00121B62">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p>
    <w:p w14:paraId="59222501" w14:textId="77777777" w:rsidR="00EE1400" w:rsidRPr="00121B62" w:rsidRDefault="00EE1400" w:rsidP="00EE1400">
      <w:pPr>
        <w:pStyle w:val="Blockquote"/>
        <w:jc w:val="both"/>
        <w:rPr>
          <w:sz w:val="22"/>
          <w:szCs w:val="22"/>
          <w:lang w:val="en-GB"/>
        </w:rPr>
      </w:pPr>
      <w:r w:rsidRPr="00121B62">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14:paraId="0DF26D16" w14:textId="77777777" w:rsidR="00EE1400" w:rsidRPr="00121B62" w:rsidRDefault="00EE1400" w:rsidP="00EE1400">
      <w:pPr>
        <w:pStyle w:val="Blockquote"/>
        <w:jc w:val="both"/>
        <w:rPr>
          <w:sz w:val="22"/>
          <w:szCs w:val="22"/>
          <w:lang w:val="en-GB"/>
        </w:rPr>
      </w:pPr>
      <w:r w:rsidRPr="00121B62">
        <w:rPr>
          <w:sz w:val="22"/>
          <w:szCs w:val="22"/>
          <w:lang w:val="en-GB"/>
        </w:rPr>
        <w:lastRenderedPageBreak/>
        <w:t>Commission Delegated Regulation (EU) No 481/2014 of 4 March 2014 supplementing Regulation (EU) No 1299/2013 of the European Parliament and of the Council with regard to specific rules on eligibility of expenditure for cooperation programmes;</w:t>
      </w:r>
    </w:p>
    <w:p w14:paraId="284F90AD" w14:textId="77777777" w:rsidR="00EE1400" w:rsidRPr="00121B62" w:rsidRDefault="00EE1400" w:rsidP="00EE1400">
      <w:pPr>
        <w:pStyle w:val="Blockquote"/>
        <w:jc w:val="both"/>
        <w:rPr>
          <w:sz w:val="22"/>
          <w:szCs w:val="22"/>
          <w:lang w:val="en-GB"/>
        </w:rPr>
      </w:pPr>
      <w:r w:rsidRPr="00121B62">
        <w:rPr>
          <w:sz w:val="22"/>
          <w:szCs w:val="22"/>
          <w:lang w:val="en-GB"/>
        </w:rPr>
        <w:t>Regulation (EU) No 236/2014 of the European Parliament and of the Council of 11 March 2014 laying down common rules and procedures for the implementation of the union's instruments for financing external action;</w:t>
      </w:r>
    </w:p>
    <w:p w14:paraId="0F6E12B8" w14:textId="77777777" w:rsidR="00EE1400" w:rsidRPr="00121B62" w:rsidRDefault="00EE1400" w:rsidP="00EE1400">
      <w:pPr>
        <w:pStyle w:val="Blockquote"/>
        <w:jc w:val="both"/>
        <w:rPr>
          <w:sz w:val="22"/>
          <w:szCs w:val="22"/>
          <w:lang w:val="en-GB"/>
        </w:rPr>
      </w:pPr>
      <w:r w:rsidRPr="00121B62">
        <w:rPr>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0CD0D678" w14:textId="77777777" w:rsidR="00EE1400" w:rsidRPr="00121B62" w:rsidRDefault="00EE1400" w:rsidP="00EE1400">
      <w:pPr>
        <w:pStyle w:val="Blockquote"/>
        <w:jc w:val="both"/>
        <w:rPr>
          <w:sz w:val="22"/>
          <w:szCs w:val="22"/>
          <w:lang w:val="en-GB"/>
        </w:rPr>
      </w:pPr>
      <w:r w:rsidRPr="00121B62">
        <w:rPr>
          <w:sz w:val="22"/>
          <w:szCs w:val="22"/>
          <w:lang w:val="en-GB"/>
        </w:rPr>
        <w:t>Regulation (EU, EURATOM) No 966/2012 of the European Parliament and of the Council of 25 October 2012 on the financial rules applicable to the general budget of the Union and repealing Council Regulation (EC, EURATOM) No 1605/2002;</w:t>
      </w:r>
    </w:p>
    <w:p w14:paraId="42C060DB" w14:textId="77777777" w:rsidR="00EE1400" w:rsidRPr="00121B62" w:rsidRDefault="00EE1400" w:rsidP="00EE1400">
      <w:pPr>
        <w:pStyle w:val="Blockquote"/>
        <w:jc w:val="both"/>
        <w:rPr>
          <w:sz w:val="22"/>
          <w:szCs w:val="22"/>
          <w:lang w:val="en-GB"/>
        </w:rPr>
      </w:pPr>
      <w:r w:rsidRPr="00121B62">
        <w:rPr>
          <w:sz w:val="22"/>
          <w:szCs w:val="22"/>
          <w:lang w:val="en-GB"/>
        </w:rPr>
        <w:t>Commission Delegated Regulation (EU) No 1268/2012 of 29 October 2012 on the rules of application of Regulation (EU, EURATOM) No 966/2012 of the European Parliament and of the Council on the financial rules applicable to the general budget of the Union;</w:t>
      </w:r>
    </w:p>
    <w:p w14:paraId="6950924A" w14:textId="77777777" w:rsidR="00EE1400" w:rsidRPr="00121B62" w:rsidRDefault="00EE1400" w:rsidP="00EE1400">
      <w:pPr>
        <w:pStyle w:val="Blockquote"/>
        <w:jc w:val="both"/>
        <w:rPr>
          <w:sz w:val="22"/>
          <w:szCs w:val="22"/>
          <w:lang w:val="en-GB"/>
        </w:rPr>
      </w:pPr>
      <w:r w:rsidRPr="00121B62">
        <w:rPr>
          <w:sz w:val="22"/>
          <w:szCs w:val="22"/>
          <w:lang w:val="en-GB"/>
        </w:rPr>
        <w:t>Regulation (EU, EURATOM) 2015/1929 of the European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4A2A997F" w14:textId="77777777" w:rsidR="00EE1400" w:rsidRDefault="00EE1400" w:rsidP="00E147D3">
      <w:pPr>
        <w:pStyle w:val="Blockquote"/>
        <w:spacing w:before="120" w:after="0"/>
        <w:ind w:left="426" w:right="310"/>
        <w:jc w:val="both"/>
        <w:rPr>
          <w:sz w:val="22"/>
          <w:szCs w:val="22"/>
          <w:highlight w:val="lightGray"/>
          <w:lang w:val="en-GB"/>
        </w:rPr>
      </w:pPr>
    </w:p>
    <w:p w14:paraId="07323F62" w14:textId="77777777" w:rsidR="00EE1400" w:rsidRDefault="00EE1400" w:rsidP="00E147D3">
      <w:pPr>
        <w:pStyle w:val="Blockquote"/>
        <w:spacing w:before="120" w:after="0"/>
        <w:ind w:left="426" w:right="310"/>
        <w:jc w:val="both"/>
        <w:rPr>
          <w:sz w:val="22"/>
          <w:szCs w:val="22"/>
          <w:highlight w:val="lightGray"/>
          <w:lang w:val="en-GB"/>
        </w:rPr>
      </w:pPr>
    </w:p>
    <w:p w14:paraId="6EB04A46"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5B323BB2" w14:textId="10167139" w:rsidR="00EE1400"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w:t>
      </w:r>
      <w:r w:rsidR="00EE1400">
        <w:rPr>
          <w:lang w:val="en-GB"/>
        </w:rPr>
        <w:t>form must</w:t>
      </w:r>
      <w:r>
        <w:rPr>
          <w:lang w:val="en-GB"/>
        </w:rPr>
        <w:t xml:space="preserve"> be expressed in </w:t>
      </w:r>
      <w:r w:rsidR="00EE1400">
        <w:rPr>
          <w:lang w:val="en-GB"/>
        </w:rPr>
        <w:t>EUR</w:t>
      </w:r>
    </w:p>
    <w:p w14:paraId="1897A8E9"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C935B" w14:textId="77777777" w:rsidR="009A52B8" w:rsidRDefault="009A52B8">
      <w:r>
        <w:separator/>
      </w:r>
    </w:p>
  </w:endnote>
  <w:endnote w:type="continuationSeparator" w:id="0">
    <w:p w14:paraId="3CC57F0C" w14:textId="77777777" w:rsidR="009A52B8" w:rsidRDefault="009A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0CD49" w14:textId="77777777"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6</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9</w:t>
    </w:r>
    <w:r w:rsidR="00B33EE6" w:rsidRPr="00B33EE6">
      <w:rPr>
        <w:rStyle w:val="PageNumber"/>
        <w:sz w:val="18"/>
        <w:szCs w:val="18"/>
        <w:lang w:val="en-GB"/>
      </w:rPr>
      <w:fldChar w:fldCharType="end"/>
    </w:r>
  </w:p>
  <w:p w14:paraId="6720697F"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FB574" w14:textId="77777777" w:rsidR="009A52B8" w:rsidRDefault="009A52B8">
      <w:r>
        <w:separator/>
      </w:r>
    </w:p>
  </w:footnote>
  <w:footnote w:type="continuationSeparator" w:id="0">
    <w:p w14:paraId="05B79B82" w14:textId="77777777" w:rsidR="009A52B8" w:rsidRDefault="009A5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BE83712"/>
    <w:multiLevelType w:val="hybridMultilevel"/>
    <w:tmpl w:val="C05E6C20"/>
    <w:lvl w:ilvl="0" w:tplc="0C1A0001">
      <w:start w:val="1"/>
      <w:numFmt w:val="bullet"/>
      <w:lvlText w:val=""/>
      <w:lvlJc w:val="left"/>
      <w:pPr>
        <w:ind w:left="1080" w:hanging="360"/>
      </w:pPr>
      <w:rPr>
        <w:rFonts w:ascii="Symbol" w:hAnsi="Symbol" w:hint="default"/>
      </w:rPr>
    </w:lvl>
    <w:lvl w:ilvl="1" w:tplc="0C1A0003" w:tentative="1">
      <w:start w:val="1"/>
      <w:numFmt w:val="bullet"/>
      <w:lvlText w:val="o"/>
      <w:lvlJc w:val="left"/>
      <w:pPr>
        <w:ind w:left="1800" w:hanging="360"/>
      </w:pPr>
      <w:rPr>
        <w:rFonts w:ascii="Courier New" w:hAnsi="Courier New" w:cs="Courier New" w:hint="default"/>
      </w:rPr>
    </w:lvl>
    <w:lvl w:ilvl="2" w:tplc="0C1A0005" w:tentative="1">
      <w:start w:val="1"/>
      <w:numFmt w:val="bullet"/>
      <w:lvlText w:val=""/>
      <w:lvlJc w:val="left"/>
      <w:pPr>
        <w:ind w:left="2520" w:hanging="360"/>
      </w:pPr>
      <w:rPr>
        <w:rFonts w:ascii="Wingdings" w:hAnsi="Wingdings" w:hint="default"/>
      </w:rPr>
    </w:lvl>
    <w:lvl w:ilvl="3" w:tplc="0C1A0001" w:tentative="1">
      <w:start w:val="1"/>
      <w:numFmt w:val="bullet"/>
      <w:lvlText w:val=""/>
      <w:lvlJc w:val="left"/>
      <w:pPr>
        <w:ind w:left="3240" w:hanging="360"/>
      </w:pPr>
      <w:rPr>
        <w:rFonts w:ascii="Symbol" w:hAnsi="Symbol" w:hint="default"/>
      </w:rPr>
    </w:lvl>
    <w:lvl w:ilvl="4" w:tplc="0C1A0003" w:tentative="1">
      <w:start w:val="1"/>
      <w:numFmt w:val="bullet"/>
      <w:lvlText w:val="o"/>
      <w:lvlJc w:val="left"/>
      <w:pPr>
        <w:ind w:left="3960" w:hanging="360"/>
      </w:pPr>
      <w:rPr>
        <w:rFonts w:ascii="Courier New" w:hAnsi="Courier New" w:cs="Courier New" w:hint="default"/>
      </w:rPr>
    </w:lvl>
    <w:lvl w:ilvl="5" w:tplc="0C1A0005" w:tentative="1">
      <w:start w:val="1"/>
      <w:numFmt w:val="bullet"/>
      <w:lvlText w:val=""/>
      <w:lvlJc w:val="left"/>
      <w:pPr>
        <w:ind w:left="4680" w:hanging="360"/>
      </w:pPr>
      <w:rPr>
        <w:rFonts w:ascii="Wingdings" w:hAnsi="Wingdings" w:hint="default"/>
      </w:rPr>
    </w:lvl>
    <w:lvl w:ilvl="6" w:tplc="0C1A0001" w:tentative="1">
      <w:start w:val="1"/>
      <w:numFmt w:val="bullet"/>
      <w:lvlText w:val=""/>
      <w:lvlJc w:val="left"/>
      <w:pPr>
        <w:ind w:left="5400" w:hanging="360"/>
      </w:pPr>
      <w:rPr>
        <w:rFonts w:ascii="Symbol" w:hAnsi="Symbol" w:hint="default"/>
      </w:rPr>
    </w:lvl>
    <w:lvl w:ilvl="7" w:tplc="0C1A0003" w:tentative="1">
      <w:start w:val="1"/>
      <w:numFmt w:val="bullet"/>
      <w:lvlText w:val="o"/>
      <w:lvlJc w:val="left"/>
      <w:pPr>
        <w:ind w:left="6120" w:hanging="360"/>
      </w:pPr>
      <w:rPr>
        <w:rFonts w:ascii="Courier New" w:hAnsi="Courier New" w:cs="Courier New" w:hint="default"/>
      </w:rPr>
    </w:lvl>
    <w:lvl w:ilvl="8" w:tplc="0C1A0005" w:tentative="1">
      <w:start w:val="1"/>
      <w:numFmt w:val="bullet"/>
      <w:lvlText w:val=""/>
      <w:lvlJc w:val="left"/>
      <w:pPr>
        <w:ind w:left="684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9D5225D"/>
    <w:multiLevelType w:val="hybridMultilevel"/>
    <w:tmpl w:val="1240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45"/>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24F"/>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2142"/>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5719D"/>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A52B8"/>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1400"/>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187B4"/>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692142"/>
    <w:pPr>
      <w:widowControl/>
      <w:spacing w:before="0" w:after="0"/>
      <w:ind w:left="720"/>
    </w:pPr>
    <w:rPr>
      <w:rFonts w:ascii="Calibri" w:eastAsia="Calibri" w:hAnsi="Calibri" w:cs="Calibri"/>
      <w:snapToGrid/>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9ED4E-E6C0-4BE1-954B-DB86B9AA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1690</Words>
  <Characters>9635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11303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Zoran Milovanović</cp:lastModifiedBy>
  <cp:revision>2</cp:revision>
  <cp:lastPrinted>2016-05-31T08:36:00Z</cp:lastPrinted>
  <dcterms:created xsi:type="dcterms:W3CDTF">2019-09-01T11:11:00Z</dcterms:created>
  <dcterms:modified xsi:type="dcterms:W3CDTF">2019-09-01T11:11:00Z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