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1A26" w:rsidRDefault="00AB1A26">
      <w:pPr>
        <w:pStyle w:val="Subtitle"/>
        <w:spacing w:after="240"/>
        <w:rPr>
          <w:lang w:val="en-GB"/>
        </w:rPr>
      </w:pPr>
    </w:p>
    <w:p w:rsidR="003436FE" w:rsidRPr="002B370E" w:rsidRDefault="003436FE">
      <w:pPr>
        <w:pStyle w:val="Subtitle"/>
        <w:spacing w:after="240"/>
        <w:rPr>
          <w:lang w:val="en-GB"/>
        </w:rPr>
      </w:pPr>
      <w:r w:rsidRPr="002B370E">
        <w:rPr>
          <w:lang w:val="en-GB"/>
        </w:rPr>
        <w:t xml:space="preserve">REFERENCE: </w:t>
      </w:r>
      <w:r w:rsidR="00AB1A26">
        <w:rPr>
          <w:lang w:val="en-GB"/>
        </w:rPr>
        <w:t>CB007.2.</w:t>
      </w:r>
      <w:r w:rsidR="00C97C1D">
        <w:rPr>
          <w:lang w:val="en-GB"/>
        </w:rPr>
        <w:t>1</w:t>
      </w:r>
      <w:r w:rsidR="00AB1A26">
        <w:rPr>
          <w:lang w:val="en-GB"/>
        </w:rPr>
        <w:t>3.</w:t>
      </w:r>
      <w:r w:rsidR="00C97C1D">
        <w:rPr>
          <w:lang w:val="en-GB"/>
        </w:rPr>
        <w:t>212</w:t>
      </w:r>
      <w:r w:rsidR="00AB1A26">
        <w:rPr>
          <w:lang w:val="en-GB"/>
        </w:rPr>
        <w:t>-SERV-01</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6E3A44" w:rsidRDefault="003436FE" w:rsidP="003436FE">
      <w:pPr>
        <w:keepNext/>
        <w:numPr>
          <w:ilvl w:val="0"/>
          <w:numId w:val="26"/>
        </w:numPr>
        <w:spacing w:before="120" w:after="120"/>
        <w:jc w:val="both"/>
        <w:rPr>
          <w:b/>
          <w:sz w:val="24"/>
          <w:szCs w:val="24"/>
        </w:rPr>
      </w:pPr>
      <w:bookmarkStart w:id="0" w:name="_Ref499723935"/>
      <w:r w:rsidRPr="006E3A44">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6E3A44" w:rsidTr="00010683">
        <w:tc>
          <w:tcPr>
            <w:tcW w:w="4820" w:type="dxa"/>
            <w:tcBorders>
              <w:bottom w:val="nil"/>
            </w:tcBorders>
          </w:tcPr>
          <w:p w:rsidR="003436FE" w:rsidRPr="006E3A44" w:rsidRDefault="003436FE">
            <w:pPr>
              <w:rPr>
                <w:sz w:val="22"/>
                <w:szCs w:val="22"/>
              </w:rPr>
            </w:pPr>
          </w:p>
        </w:tc>
        <w:tc>
          <w:tcPr>
            <w:tcW w:w="1972" w:type="dxa"/>
            <w:shd w:val="pct10" w:color="auto" w:fill="FFFFFF"/>
          </w:tcPr>
          <w:p w:rsidR="003436FE" w:rsidRPr="006E3A44" w:rsidRDefault="003436FE">
            <w:pPr>
              <w:jc w:val="center"/>
              <w:rPr>
                <w:b/>
                <w:sz w:val="22"/>
                <w:szCs w:val="22"/>
              </w:rPr>
            </w:pPr>
            <w:r w:rsidRPr="006E3A44">
              <w:rPr>
                <w:b/>
                <w:sz w:val="22"/>
                <w:szCs w:val="22"/>
              </w:rPr>
              <w:t>DATE</w:t>
            </w:r>
          </w:p>
        </w:tc>
        <w:tc>
          <w:tcPr>
            <w:tcW w:w="1572" w:type="dxa"/>
            <w:tcBorders>
              <w:bottom w:val="nil"/>
            </w:tcBorders>
            <w:shd w:val="pct10" w:color="auto" w:fill="FFFFFF"/>
          </w:tcPr>
          <w:p w:rsidR="003436FE" w:rsidRPr="006E3A44" w:rsidRDefault="003436FE">
            <w:pPr>
              <w:jc w:val="center"/>
              <w:rPr>
                <w:b/>
                <w:sz w:val="22"/>
                <w:szCs w:val="22"/>
              </w:rPr>
            </w:pPr>
            <w:r w:rsidRPr="006E3A44">
              <w:rPr>
                <w:b/>
                <w:sz w:val="22"/>
                <w:szCs w:val="22"/>
              </w:rPr>
              <w:t>TIME*</w:t>
            </w:r>
          </w:p>
        </w:tc>
      </w:tr>
      <w:tr w:rsidR="003436FE" w:rsidRPr="006E3A44" w:rsidTr="00010683">
        <w:tc>
          <w:tcPr>
            <w:tcW w:w="4820" w:type="dxa"/>
            <w:shd w:val="pct10" w:color="auto" w:fill="FFFFFF"/>
          </w:tcPr>
          <w:p w:rsidR="003436FE" w:rsidRPr="006E3A44" w:rsidRDefault="003436FE">
            <w:pPr>
              <w:spacing w:before="120" w:after="120"/>
              <w:rPr>
                <w:b/>
                <w:sz w:val="22"/>
                <w:szCs w:val="22"/>
              </w:rPr>
            </w:pPr>
            <w:r w:rsidRPr="006E3A44">
              <w:rPr>
                <w:b/>
                <w:sz w:val="22"/>
                <w:szCs w:val="22"/>
              </w:rPr>
              <w:t xml:space="preserve">Deadline for requesting clarification from the </w:t>
            </w:r>
            <w:r w:rsidR="00C330E1" w:rsidRPr="006E3A44">
              <w:rPr>
                <w:b/>
                <w:sz w:val="22"/>
                <w:szCs w:val="22"/>
              </w:rPr>
              <w:t>c</w:t>
            </w:r>
            <w:r w:rsidRPr="006E3A44">
              <w:rPr>
                <w:b/>
                <w:sz w:val="22"/>
                <w:szCs w:val="22"/>
              </w:rPr>
              <w:t xml:space="preserve">ontracting </w:t>
            </w:r>
            <w:r w:rsidR="00C330E1" w:rsidRPr="006E3A44">
              <w:rPr>
                <w:b/>
                <w:sz w:val="22"/>
                <w:szCs w:val="22"/>
              </w:rPr>
              <w:t>a</w:t>
            </w:r>
            <w:r w:rsidRPr="006E3A44">
              <w:rPr>
                <w:b/>
                <w:sz w:val="22"/>
                <w:szCs w:val="22"/>
              </w:rPr>
              <w:t>uthority</w:t>
            </w:r>
          </w:p>
        </w:tc>
        <w:tc>
          <w:tcPr>
            <w:tcW w:w="1972" w:type="dxa"/>
          </w:tcPr>
          <w:p w:rsidR="003436FE" w:rsidRPr="006E3A44" w:rsidRDefault="006E3A44">
            <w:pPr>
              <w:spacing w:before="120" w:after="120"/>
              <w:jc w:val="center"/>
              <w:rPr>
                <w:sz w:val="22"/>
                <w:szCs w:val="22"/>
              </w:rPr>
            </w:pPr>
            <w:r w:rsidRPr="006E3A44">
              <w:rPr>
                <w:sz w:val="22"/>
                <w:szCs w:val="22"/>
              </w:rPr>
              <w:t>22</w:t>
            </w:r>
            <w:r w:rsidR="001433D2" w:rsidRPr="006E3A44">
              <w:rPr>
                <w:sz w:val="22"/>
                <w:szCs w:val="22"/>
              </w:rPr>
              <w:t>.</w:t>
            </w:r>
            <w:r w:rsidR="00E5596E" w:rsidRPr="006E3A44">
              <w:rPr>
                <w:sz w:val="22"/>
                <w:szCs w:val="22"/>
              </w:rPr>
              <w:t>10</w:t>
            </w:r>
            <w:r w:rsidR="001433D2" w:rsidRPr="006E3A44">
              <w:rPr>
                <w:sz w:val="22"/>
                <w:szCs w:val="22"/>
              </w:rPr>
              <w:t>.2019</w:t>
            </w:r>
          </w:p>
        </w:tc>
        <w:tc>
          <w:tcPr>
            <w:tcW w:w="1572" w:type="dxa"/>
          </w:tcPr>
          <w:p w:rsidR="003436FE" w:rsidRPr="006E3A44" w:rsidRDefault="001433D2">
            <w:pPr>
              <w:spacing w:before="120" w:after="120"/>
              <w:jc w:val="center"/>
              <w:rPr>
                <w:sz w:val="22"/>
                <w:szCs w:val="22"/>
              </w:rPr>
            </w:pPr>
            <w:r w:rsidRPr="006E3A44">
              <w:rPr>
                <w:sz w:val="22"/>
                <w:szCs w:val="22"/>
              </w:rPr>
              <w:t>1</w:t>
            </w:r>
            <w:r w:rsidR="00E5596E" w:rsidRPr="006E3A44">
              <w:rPr>
                <w:sz w:val="22"/>
                <w:szCs w:val="22"/>
              </w:rPr>
              <w:t>5</w:t>
            </w:r>
            <w:r w:rsidR="005F0955" w:rsidRPr="006E3A44">
              <w:rPr>
                <w:sz w:val="22"/>
                <w:szCs w:val="22"/>
              </w:rPr>
              <w:t>:</w:t>
            </w:r>
            <w:r w:rsidRPr="006E3A44">
              <w:rPr>
                <w:sz w:val="22"/>
                <w:szCs w:val="22"/>
              </w:rPr>
              <w:t>00</w:t>
            </w:r>
          </w:p>
        </w:tc>
      </w:tr>
      <w:tr w:rsidR="003436FE" w:rsidRPr="006E3A44" w:rsidTr="00010683">
        <w:tc>
          <w:tcPr>
            <w:tcW w:w="4820" w:type="dxa"/>
            <w:shd w:val="pct10" w:color="auto" w:fill="FFFFFF"/>
          </w:tcPr>
          <w:p w:rsidR="003436FE" w:rsidRPr="006E3A44" w:rsidRDefault="003436FE">
            <w:pPr>
              <w:spacing w:before="120" w:after="120"/>
              <w:rPr>
                <w:b/>
                <w:sz w:val="22"/>
                <w:szCs w:val="22"/>
              </w:rPr>
            </w:pPr>
            <w:r w:rsidRPr="006E3A44">
              <w:rPr>
                <w:b/>
                <w:sz w:val="22"/>
                <w:szCs w:val="22"/>
              </w:rPr>
              <w:t xml:space="preserve">Last date for the </w:t>
            </w:r>
            <w:r w:rsidR="00C330E1" w:rsidRPr="006E3A44">
              <w:rPr>
                <w:b/>
                <w:sz w:val="22"/>
                <w:szCs w:val="22"/>
              </w:rPr>
              <w:t>c</w:t>
            </w:r>
            <w:r w:rsidRPr="006E3A44">
              <w:rPr>
                <w:b/>
                <w:sz w:val="22"/>
                <w:szCs w:val="22"/>
              </w:rPr>
              <w:t xml:space="preserve">ontracting </w:t>
            </w:r>
            <w:r w:rsidR="00C330E1" w:rsidRPr="006E3A44">
              <w:rPr>
                <w:b/>
                <w:sz w:val="22"/>
                <w:szCs w:val="22"/>
              </w:rPr>
              <w:t>a</w:t>
            </w:r>
            <w:r w:rsidRPr="006E3A44">
              <w:rPr>
                <w:b/>
                <w:sz w:val="22"/>
                <w:szCs w:val="22"/>
              </w:rPr>
              <w:t xml:space="preserve">uthority to issue clarification </w:t>
            </w:r>
          </w:p>
        </w:tc>
        <w:tc>
          <w:tcPr>
            <w:tcW w:w="1972" w:type="dxa"/>
          </w:tcPr>
          <w:p w:rsidR="003436FE" w:rsidRPr="006E3A44" w:rsidRDefault="006E3A44">
            <w:pPr>
              <w:spacing w:before="120" w:after="120"/>
              <w:jc w:val="center"/>
              <w:rPr>
                <w:sz w:val="22"/>
                <w:szCs w:val="22"/>
              </w:rPr>
            </w:pPr>
            <w:r w:rsidRPr="006E3A44">
              <w:rPr>
                <w:sz w:val="22"/>
                <w:szCs w:val="22"/>
              </w:rPr>
              <w:t>01</w:t>
            </w:r>
            <w:r w:rsidR="001433D2" w:rsidRPr="006E3A44">
              <w:rPr>
                <w:sz w:val="22"/>
                <w:szCs w:val="22"/>
              </w:rPr>
              <w:t>.</w:t>
            </w:r>
            <w:r w:rsidR="00E5596E" w:rsidRPr="006E3A44">
              <w:rPr>
                <w:sz w:val="22"/>
                <w:szCs w:val="22"/>
              </w:rPr>
              <w:t>1</w:t>
            </w:r>
            <w:r w:rsidRPr="006E3A44">
              <w:rPr>
                <w:sz w:val="22"/>
                <w:szCs w:val="22"/>
              </w:rPr>
              <w:t>1</w:t>
            </w:r>
            <w:r w:rsidR="001433D2" w:rsidRPr="006E3A44">
              <w:rPr>
                <w:sz w:val="22"/>
                <w:szCs w:val="22"/>
              </w:rPr>
              <w:t>.2019</w:t>
            </w:r>
          </w:p>
        </w:tc>
        <w:tc>
          <w:tcPr>
            <w:tcW w:w="1572" w:type="dxa"/>
          </w:tcPr>
          <w:p w:rsidR="003436FE" w:rsidRPr="006E3A44" w:rsidRDefault="003436FE">
            <w:pPr>
              <w:spacing w:before="120" w:after="120"/>
              <w:jc w:val="center"/>
              <w:rPr>
                <w:sz w:val="22"/>
                <w:szCs w:val="22"/>
              </w:rPr>
            </w:pPr>
            <w:r w:rsidRPr="006E3A44">
              <w:rPr>
                <w:sz w:val="22"/>
                <w:szCs w:val="22"/>
              </w:rPr>
              <w:t>-</w:t>
            </w:r>
          </w:p>
        </w:tc>
      </w:tr>
      <w:tr w:rsidR="003436FE" w:rsidRPr="006E3A44" w:rsidTr="00010683">
        <w:tc>
          <w:tcPr>
            <w:tcW w:w="4820" w:type="dxa"/>
            <w:shd w:val="pct10" w:color="auto" w:fill="FFFFFF"/>
          </w:tcPr>
          <w:p w:rsidR="003436FE" w:rsidRPr="006E3A44" w:rsidRDefault="003436FE">
            <w:pPr>
              <w:spacing w:before="120" w:after="120"/>
              <w:rPr>
                <w:b/>
                <w:sz w:val="22"/>
                <w:szCs w:val="22"/>
              </w:rPr>
            </w:pPr>
            <w:r w:rsidRPr="006E3A44">
              <w:rPr>
                <w:b/>
                <w:sz w:val="22"/>
                <w:szCs w:val="22"/>
              </w:rPr>
              <w:t>Deadline for submitting tenders</w:t>
            </w:r>
          </w:p>
        </w:tc>
        <w:tc>
          <w:tcPr>
            <w:tcW w:w="1972" w:type="dxa"/>
          </w:tcPr>
          <w:p w:rsidR="003436FE" w:rsidRPr="006E3A44" w:rsidRDefault="006E3A44">
            <w:pPr>
              <w:spacing w:before="120" w:after="120"/>
              <w:jc w:val="center"/>
              <w:rPr>
                <w:sz w:val="22"/>
                <w:szCs w:val="22"/>
              </w:rPr>
            </w:pPr>
            <w:r w:rsidRPr="006E3A44">
              <w:rPr>
                <w:sz w:val="22"/>
                <w:szCs w:val="22"/>
              </w:rPr>
              <w:t>12</w:t>
            </w:r>
            <w:r w:rsidR="001433D2" w:rsidRPr="006E3A44">
              <w:rPr>
                <w:sz w:val="22"/>
                <w:szCs w:val="22"/>
              </w:rPr>
              <w:t>.</w:t>
            </w:r>
            <w:r w:rsidR="003B78BA" w:rsidRPr="006E3A44">
              <w:rPr>
                <w:sz w:val="22"/>
                <w:szCs w:val="22"/>
              </w:rPr>
              <w:t>1</w:t>
            </w:r>
            <w:r w:rsidR="00E5596E" w:rsidRPr="006E3A44">
              <w:rPr>
                <w:sz w:val="22"/>
                <w:szCs w:val="22"/>
              </w:rPr>
              <w:t>1</w:t>
            </w:r>
            <w:r w:rsidR="001433D2" w:rsidRPr="006E3A44">
              <w:rPr>
                <w:sz w:val="22"/>
                <w:szCs w:val="22"/>
              </w:rPr>
              <w:t>.2019</w:t>
            </w:r>
          </w:p>
        </w:tc>
        <w:tc>
          <w:tcPr>
            <w:tcW w:w="1572" w:type="dxa"/>
          </w:tcPr>
          <w:p w:rsidR="003436FE" w:rsidRPr="006E3A44" w:rsidRDefault="001433D2">
            <w:pPr>
              <w:spacing w:before="120" w:after="120"/>
              <w:jc w:val="center"/>
              <w:rPr>
                <w:sz w:val="22"/>
                <w:szCs w:val="22"/>
              </w:rPr>
            </w:pPr>
            <w:r w:rsidRPr="006E3A44">
              <w:rPr>
                <w:sz w:val="22"/>
                <w:szCs w:val="22"/>
              </w:rPr>
              <w:t>1</w:t>
            </w:r>
            <w:r w:rsidR="00E5596E" w:rsidRPr="006E3A44">
              <w:rPr>
                <w:sz w:val="22"/>
                <w:szCs w:val="22"/>
              </w:rPr>
              <w:t>5</w:t>
            </w:r>
            <w:r w:rsidR="005F0955" w:rsidRPr="006E3A44">
              <w:rPr>
                <w:sz w:val="22"/>
                <w:szCs w:val="22"/>
              </w:rPr>
              <w:t>:</w:t>
            </w:r>
            <w:r w:rsidRPr="006E3A44">
              <w:rPr>
                <w:sz w:val="22"/>
                <w:szCs w:val="22"/>
              </w:rPr>
              <w:t>00</w:t>
            </w:r>
          </w:p>
        </w:tc>
      </w:tr>
      <w:tr w:rsidR="003436FE" w:rsidRPr="006E3A44" w:rsidTr="00010683">
        <w:tc>
          <w:tcPr>
            <w:tcW w:w="4820" w:type="dxa"/>
            <w:shd w:val="pct10" w:color="auto" w:fill="FFFFFF"/>
          </w:tcPr>
          <w:p w:rsidR="003436FE" w:rsidRPr="006E3A44" w:rsidRDefault="003436FE" w:rsidP="003436FE">
            <w:pPr>
              <w:spacing w:before="120" w:after="120"/>
              <w:rPr>
                <w:b/>
                <w:sz w:val="22"/>
                <w:szCs w:val="22"/>
              </w:rPr>
            </w:pPr>
            <w:r w:rsidRPr="006E3A44">
              <w:rPr>
                <w:b/>
                <w:sz w:val="22"/>
                <w:szCs w:val="22"/>
              </w:rPr>
              <w:t>Interviews (if any)</w:t>
            </w:r>
          </w:p>
        </w:tc>
        <w:tc>
          <w:tcPr>
            <w:tcW w:w="1972" w:type="dxa"/>
          </w:tcPr>
          <w:p w:rsidR="003436FE" w:rsidRPr="006E3A44" w:rsidRDefault="003436FE" w:rsidP="00F34A82">
            <w:pPr>
              <w:spacing w:before="120" w:after="120"/>
              <w:jc w:val="center"/>
              <w:rPr>
                <w:sz w:val="22"/>
                <w:szCs w:val="22"/>
              </w:rPr>
            </w:pPr>
            <w:r w:rsidRPr="006E3A44">
              <w:rPr>
                <w:sz w:val="22"/>
                <w:szCs w:val="22"/>
              </w:rPr>
              <w:t xml:space="preserve">Not applicable </w:t>
            </w:r>
            <w:r w:rsidRPr="006E3A44">
              <w:rPr>
                <w:sz w:val="22"/>
                <w:szCs w:val="22"/>
                <w:vertAlign w:val="superscript"/>
              </w:rPr>
              <w:sym w:font="Monotype Sorts" w:char="F027"/>
            </w:r>
          </w:p>
        </w:tc>
        <w:tc>
          <w:tcPr>
            <w:tcW w:w="1572" w:type="dxa"/>
          </w:tcPr>
          <w:p w:rsidR="003436FE" w:rsidRPr="006E3A44" w:rsidRDefault="003436FE" w:rsidP="003436FE">
            <w:pPr>
              <w:spacing w:before="120" w:after="120"/>
              <w:jc w:val="center"/>
              <w:rPr>
                <w:sz w:val="22"/>
                <w:szCs w:val="22"/>
              </w:rPr>
            </w:pPr>
            <w:r w:rsidRPr="006E3A44">
              <w:rPr>
                <w:sz w:val="22"/>
                <w:szCs w:val="22"/>
              </w:rPr>
              <w:t>-</w:t>
            </w:r>
          </w:p>
        </w:tc>
      </w:tr>
      <w:tr w:rsidR="003436FE" w:rsidRPr="006E3A44" w:rsidTr="00010683">
        <w:tc>
          <w:tcPr>
            <w:tcW w:w="4820" w:type="dxa"/>
            <w:shd w:val="pct10" w:color="auto" w:fill="FFFFFF"/>
          </w:tcPr>
          <w:p w:rsidR="003436FE" w:rsidRPr="006E3A44" w:rsidRDefault="003436FE">
            <w:pPr>
              <w:spacing w:before="120" w:after="120"/>
              <w:rPr>
                <w:b/>
                <w:sz w:val="22"/>
                <w:szCs w:val="22"/>
              </w:rPr>
            </w:pPr>
            <w:r w:rsidRPr="006E3A44">
              <w:rPr>
                <w:b/>
                <w:sz w:val="22"/>
                <w:szCs w:val="22"/>
              </w:rPr>
              <w:t>Completion date for evaluating technical offers</w:t>
            </w:r>
          </w:p>
        </w:tc>
        <w:tc>
          <w:tcPr>
            <w:tcW w:w="1972" w:type="dxa"/>
          </w:tcPr>
          <w:p w:rsidR="003436FE" w:rsidRPr="006E3A44" w:rsidRDefault="006E3A44">
            <w:pPr>
              <w:spacing w:before="120" w:after="120"/>
              <w:jc w:val="center"/>
              <w:rPr>
                <w:sz w:val="22"/>
                <w:szCs w:val="22"/>
              </w:rPr>
            </w:pPr>
            <w:r w:rsidRPr="006E3A44">
              <w:rPr>
                <w:sz w:val="22"/>
                <w:szCs w:val="22"/>
              </w:rPr>
              <w:t>14</w:t>
            </w:r>
            <w:r w:rsidR="001433D2" w:rsidRPr="006E3A44">
              <w:rPr>
                <w:sz w:val="22"/>
                <w:szCs w:val="22"/>
              </w:rPr>
              <w:t>.</w:t>
            </w:r>
            <w:r w:rsidR="00A96086" w:rsidRPr="006E3A44">
              <w:rPr>
                <w:sz w:val="22"/>
                <w:szCs w:val="22"/>
              </w:rPr>
              <w:t>1</w:t>
            </w:r>
            <w:r w:rsidR="00E5596E" w:rsidRPr="006E3A44">
              <w:rPr>
                <w:sz w:val="22"/>
                <w:szCs w:val="22"/>
              </w:rPr>
              <w:t>1</w:t>
            </w:r>
            <w:r w:rsidR="001433D2" w:rsidRPr="006E3A44">
              <w:rPr>
                <w:sz w:val="22"/>
                <w:szCs w:val="22"/>
              </w:rPr>
              <w:t>.2019</w:t>
            </w:r>
            <w:r w:rsidR="003436FE" w:rsidRPr="006E3A44">
              <w:rPr>
                <w:sz w:val="22"/>
                <w:szCs w:val="22"/>
              </w:rPr>
              <w:t xml:space="preserve"> </w:t>
            </w:r>
            <w:r w:rsidR="003436FE" w:rsidRPr="006E3A44">
              <w:rPr>
                <w:sz w:val="22"/>
                <w:szCs w:val="22"/>
                <w:vertAlign w:val="superscript"/>
              </w:rPr>
              <w:sym w:font="Monotype Sorts" w:char="F027"/>
            </w:r>
          </w:p>
        </w:tc>
        <w:tc>
          <w:tcPr>
            <w:tcW w:w="1572" w:type="dxa"/>
          </w:tcPr>
          <w:p w:rsidR="003436FE" w:rsidRPr="006E3A44" w:rsidRDefault="003436FE">
            <w:pPr>
              <w:spacing w:before="120" w:after="120"/>
              <w:jc w:val="center"/>
              <w:rPr>
                <w:sz w:val="22"/>
                <w:szCs w:val="22"/>
              </w:rPr>
            </w:pPr>
            <w:r w:rsidRPr="006E3A44">
              <w:rPr>
                <w:sz w:val="22"/>
                <w:szCs w:val="22"/>
              </w:rPr>
              <w:t>-</w:t>
            </w:r>
          </w:p>
        </w:tc>
      </w:tr>
      <w:tr w:rsidR="003436FE" w:rsidRPr="006E3A44" w:rsidTr="00010683">
        <w:tc>
          <w:tcPr>
            <w:tcW w:w="4820" w:type="dxa"/>
            <w:shd w:val="pct10" w:color="auto" w:fill="FFFFFF"/>
          </w:tcPr>
          <w:p w:rsidR="003436FE" w:rsidRPr="006E3A44" w:rsidRDefault="003436FE">
            <w:pPr>
              <w:spacing w:before="120" w:after="120"/>
              <w:rPr>
                <w:b/>
                <w:sz w:val="22"/>
                <w:szCs w:val="22"/>
              </w:rPr>
            </w:pPr>
            <w:r w:rsidRPr="006E3A44">
              <w:rPr>
                <w:b/>
                <w:sz w:val="22"/>
                <w:szCs w:val="22"/>
              </w:rPr>
              <w:t xml:space="preserve">Notification of award </w:t>
            </w:r>
          </w:p>
        </w:tc>
        <w:tc>
          <w:tcPr>
            <w:tcW w:w="1972" w:type="dxa"/>
          </w:tcPr>
          <w:p w:rsidR="003436FE" w:rsidRPr="006E3A44" w:rsidRDefault="006E3A44" w:rsidP="00D97EDB">
            <w:pPr>
              <w:spacing w:before="120" w:after="120"/>
              <w:jc w:val="center"/>
              <w:rPr>
                <w:sz w:val="22"/>
                <w:szCs w:val="22"/>
              </w:rPr>
            </w:pPr>
            <w:r w:rsidRPr="006E3A44">
              <w:rPr>
                <w:sz w:val="22"/>
                <w:szCs w:val="22"/>
              </w:rPr>
              <w:t>15</w:t>
            </w:r>
            <w:r w:rsidR="001433D2" w:rsidRPr="006E3A44">
              <w:rPr>
                <w:sz w:val="22"/>
                <w:szCs w:val="22"/>
              </w:rPr>
              <w:t>.</w:t>
            </w:r>
            <w:r w:rsidR="00A96086" w:rsidRPr="006E3A44">
              <w:rPr>
                <w:sz w:val="22"/>
                <w:szCs w:val="22"/>
              </w:rPr>
              <w:t>1</w:t>
            </w:r>
            <w:r w:rsidR="00E5596E" w:rsidRPr="006E3A44">
              <w:rPr>
                <w:sz w:val="22"/>
                <w:szCs w:val="22"/>
              </w:rPr>
              <w:t>1</w:t>
            </w:r>
            <w:r w:rsidR="001433D2" w:rsidRPr="006E3A44">
              <w:rPr>
                <w:sz w:val="22"/>
                <w:szCs w:val="22"/>
              </w:rPr>
              <w:t>.2019</w:t>
            </w:r>
            <w:r w:rsidR="003436FE" w:rsidRPr="006E3A44">
              <w:rPr>
                <w:sz w:val="22"/>
                <w:szCs w:val="22"/>
              </w:rPr>
              <w:t xml:space="preserve"> </w:t>
            </w:r>
            <w:r w:rsidR="003436FE" w:rsidRPr="006E3A44">
              <w:rPr>
                <w:sz w:val="22"/>
                <w:szCs w:val="22"/>
                <w:vertAlign w:val="superscript"/>
              </w:rPr>
              <w:sym w:font="Monotype Sorts" w:char="F027"/>
            </w:r>
          </w:p>
        </w:tc>
        <w:tc>
          <w:tcPr>
            <w:tcW w:w="1572" w:type="dxa"/>
          </w:tcPr>
          <w:p w:rsidR="003436FE" w:rsidRPr="006E3A44" w:rsidRDefault="003436FE">
            <w:pPr>
              <w:spacing w:before="120" w:after="120"/>
              <w:jc w:val="center"/>
              <w:rPr>
                <w:sz w:val="22"/>
                <w:szCs w:val="22"/>
              </w:rPr>
            </w:pPr>
            <w:r w:rsidRPr="006E3A44">
              <w:rPr>
                <w:sz w:val="22"/>
                <w:szCs w:val="22"/>
              </w:rPr>
              <w:t>-</w:t>
            </w:r>
          </w:p>
        </w:tc>
      </w:tr>
      <w:tr w:rsidR="003436FE" w:rsidRPr="006E3A44" w:rsidTr="00010683">
        <w:tc>
          <w:tcPr>
            <w:tcW w:w="4820" w:type="dxa"/>
            <w:shd w:val="pct10" w:color="auto" w:fill="FFFFFF"/>
          </w:tcPr>
          <w:p w:rsidR="003436FE" w:rsidRPr="006E3A44" w:rsidRDefault="003436FE">
            <w:pPr>
              <w:spacing w:before="120" w:after="120"/>
              <w:rPr>
                <w:b/>
                <w:sz w:val="22"/>
                <w:szCs w:val="22"/>
              </w:rPr>
            </w:pPr>
            <w:r w:rsidRPr="006E3A44">
              <w:rPr>
                <w:b/>
                <w:sz w:val="22"/>
                <w:szCs w:val="22"/>
              </w:rPr>
              <w:t>Contract signature</w:t>
            </w:r>
          </w:p>
        </w:tc>
        <w:tc>
          <w:tcPr>
            <w:tcW w:w="1972" w:type="dxa"/>
          </w:tcPr>
          <w:p w:rsidR="003436FE" w:rsidRPr="006E3A44" w:rsidRDefault="00A96086" w:rsidP="00D97EDB">
            <w:pPr>
              <w:spacing w:before="120" w:after="120"/>
              <w:jc w:val="center"/>
              <w:rPr>
                <w:sz w:val="22"/>
                <w:szCs w:val="22"/>
              </w:rPr>
            </w:pPr>
            <w:r w:rsidRPr="006E3A44">
              <w:rPr>
                <w:sz w:val="22"/>
                <w:szCs w:val="22"/>
              </w:rPr>
              <w:t>1</w:t>
            </w:r>
            <w:r w:rsidR="006E3A44" w:rsidRPr="006E3A44">
              <w:rPr>
                <w:sz w:val="22"/>
                <w:szCs w:val="22"/>
              </w:rPr>
              <w:t>8</w:t>
            </w:r>
            <w:r w:rsidR="00E5596E" w:rsidRPr="006E3A44">
              <w:rPr>
                <w:sz w:val="22"/>
                <w:szCs w:val="22"/>
              </w:rPr>
              <w:t>.</w:t>
            </w:r>
            <w:r w:rsidRPr="006E3A44">
              <w:rPr>
                <w:sz w:val="22"/>
                <w:szCs w:val="22"/>
              </w:rPr>
              <w:t>1</w:t>
            </w:r>
            <w:r w:rsidR="00E5596E" w:rsidRPr="006E3A44">
              <w:rPr>
                <w:sz w:val="22"/>
                <w:szCs w:val="22"/>
              </w:rPr>
              <w:t>1</w:t>
            </w:r>
            <w:r w:rsidR="001433D2" w:rsidRPr="006E3A44">
              <w:rPr>
                <w:sz w:val="22"/>
                <w:szCs w:val="22"/>
              </w:rPr>
              <w:t>.2019</w:t>
            </w:r>
            <w:r w:rsidR="003436FE" w:rsidRPr="006E3A44">
              <w:rPr>
                <w:sz w:val="22"/>
                <w:szCs w:val="22"/>
              </w:rPr>
              <w:t xml:space="preserve"> </w:t>
            </w:r>
            <w:r w:rsidR="003436FE" w:rsidRPr="006E3A44">
              <w:rPr>
                <w:sz w:val="22"/>
                <w:szCs w:val="22"/>
                <w:vertAlign w:val="superscript"/>
              </w:rPr>
              <w:sym w:font="Monotype Sorts" w:char="F027"/>
            </w:r>
          </w:p>
        </w:tc>
        <w:tc>
          <w:tcPr>
            <w:tcW w:w="1572" w:type="dxa"/>
          </w:tcPr>
          <w:p w:rsidR="003436FE" w:rsidRPr="006E3A44" w:rsidRDefault="003436FE">
            <w:pPr>
              <w:spacing w:before="120" w:after="120"/>
              <w:jc w:val="center"/>
              <w:rPr>
                <w:sz w:val="22"/>
                <w:szCs w:val="22"/>
              </w:rPr>
            </w:pPr>
            <w:r w:rsidRPr="006E3A44">
              <w:rPr>
                <w:sz w:val="22"/>
                <w:szCs w:val="22"/>
              </w:rPr>
              <w:t>-</w:t>
            </w:r>
          </w:p>
        </w:tc>
      </w:tr>
      <w:tr w:rsidR="003436FE" w:rsidRPr="002B370E" w:rsidTr="00010683">
        <w:tc>
          <w:tcPr>
            <w:tcW w:w="4820" w:type="dxa"/>
            <w:shd w:val="pct10" w:color="auto" w:fill="FFFFFF"/>
          </w:tcPr>
          <w:p w:rsidR="003436FE" w:rsidRPr="006E3A44" w:rsidRDefault="003436FE">
            <w:pPr>
              <w:spacing w:before="120" w:after="120"/>
              <w:rPr>
                <w:b/>
                <w:sz w:val="22"/>
                <w:szCs w:val="22"/>
              </w:rPr>
            </w:pPr>
            <w:r w:rsidRPr="006E3A44">
              <w:rPr>
                <w:b/>
                <w:sz w:val="22"/>
                <w:szCs w:val="22"/>
              </w:rPr>
              <w:t>Start date</w:t>
            </w:r>
          </w:p>
        </w:tc>
        <w:tc>
          <w:tcPr>
            <w:tcW w:w="1972" w:type="dxa"/>
          </w:tcPr>
          <w:p w:rsidR="003436FE" w:rsidRPr="006E3A44" w:rsidRDefault="00A96086" w:rsidP="00D97EDB">
            <w:pPr>
              <w:spacing w:before="120" w:after="120"/>
              <w:jc w:val="center"/>
              <w:rPr>
                <w:sz w:val="22"/>
                <w:szCs w:val="22"/>
              </w:rPr>
            </w:pPr>
            <w:r w:rsidRPr="006E3A44">
              <w:rPr>
                <w:sz w:val="22"/>
                <w:szCs w:val="22"/>
              </w:rPr>
              <w:t>1</w:t>
            </w:r>
            <w:r w:rsidR="006E3A44" w:rsidRPr="006E3A44">
              <w:rPr>
                <w:sz w:val="22"/>
                <w:szCs w:val="22"/>
              </w:rPr>
              <w:t>8</w:t>
            </w:r>
            <w:r w:rsidR="001433D2" w:rsidRPr="006E3A44">
              <w:rPr>
                <w:sz w:val="22"/>
                <w:szCs w:val="22"/>
              </w:rPr>
              <w:t>.</w:t>
            </w:r>
            <w:r w:rsidRPr="006E3A44">
              <w:rPr>
                <w:sz w:val="22"/>
                <w:szCs w:val="22"/>
              </w:rPr>
              <w:t>1</w:t>
            </w:r>
            <w:r w:rsidR="00E5596E" w:rsidRPr="006E3A44">
              <w:rPr>
                <w:sz w:val="22"/>
                <w:szCs w:val="22"/>
              </w:rPr>
              <w:t>1</w:t>
            </w:r>
            <w:r w:rsidR="001433D2" w:rsidRPr="006E3A44">
              <w:rPr>
                <w:sz w:val="22"/>
                <w:szCs w:val="22"/>
              </w:rPr>
              <w:t>.2019</w:t>
            </w:r>
            <w:r w:rsidR="003436FE" w:rsidRPr="006E3A44">
              <w:rPr>
                <w:sz w:val="22"/>
                <w:szCs w:val="22"/>
              </w:rPr>
              <w:t xml:space="preserve"> </w:t>
            </w:r>
            <w:r w:rsidR="003436FE" w:rsidRPr="006E3A44">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6E3A44">
              <w:rPr>
                <w:sz w:val="22"/>
                <w:szCs w:val="22"/>
              </w:rPr>
              <w:t>-</w:t>
            </w:r>
          </w:p>
        </w:tc>
      </w:tr>
    </w:tbl>
    <w:p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w:t>
      </w:r>
      <w:proofErr w:type="gramStart"/>
      <w:r w:rsidR="000955FE">
        <w:rPr>
          <w:sz w:val="22"/>
          <w:szCs w:val="22"/>
        </w:rPr>
        <w:t>notice</w:t>
      </w:r>
      <w:proofErr w:type="gramEnd"/>
      <w:r w:rsidR="000955FE">
        <w:rPr>
          <w:sz w:val="22"/>
          <w:szCs w:val="22"/>
        </w:rPr>
        <w:t xml:space="preserve">. </w:t>
      </w:r>
    </w:p>
    <w:p w:rsidR="003436FE" w:rsidRPr="002B370E" w:rsidRDefault="003436FE" w:rsidP="00F80338">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lastRenderedPageBreak/>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C330E1">
        <w:rPr>
          <w:sz w:val="22"/>
          <w:szCs w:val="22"/>
        </w:rPr>
        <w:t>1.</w:t>
      </w:r>
      <w:r w:rsidR="004E248D">
        <w:rPr>
          <w:sz w:val="22"/>
          <w:szCs w:val="22"/>
        </w:rPr>
        <w:t xml:space="preserve"> </w:t>
      </w:r>
      <w:r w:rsidR="00F80338">
        <w:rPr>
          <w:sz w:val="22"/>
          <w:szCs w:val="22"/>
        </w:rPr>
        <w:t>(rejection from a</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w:t>
      </w:r>
      <w:r w:rsidR="00BE6809">
        <w:rPr>
          <w:sz w:val="22"/>
          <w:szCs w:val="22"/>
        </w:rPr>
        <w:t xml:space="preserve">. </w:t>
      </w:r>
      <w:bookmarkStart w:id="2" w:name="_GoBack"/>
      <w:bookmarkEnd w:id="2"/>
      <w:r w:rsidR="003436FE" w:rsidRPr="002B370E">
        <w:rPr>
          <w:sz w:val="22"/>
          <w:szCs w:val="22"/>
        </w:rPr>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rsidR="00D66CD2" w:rsidRPr="00200F20" w:rsidRDefault="00D66CD2" w:rsidP="00D66CD2">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00F20">
        <w:rPr>
          <w:sz w:val="22"/>
          <w:szCs w:val="22"/>
        </w:rPr>
        <w:t>Subcontracting is allowed</w:t>
      </w:r>
      <w:r>
        <w:rPr>
          <w:sz w:val="22"/>
          <w:szCs w:val="22"/>
        </w:rPr>
        <w:t xml:space="preserve"> but t</w:t>
      </w:r>
      <w:r w:rsidRPr="00200F20">
        <w:rPr>
          <w:sz w:val="22"/>
          <w:szCs w:val="22"/>
        </w:rPr>
        <w:t>he contractor will retain full liability towards the contracting authority for performance of the contract as a whole.</w:t>
      </w:r>
      <w:r>
        <w:rPr>
          <w:sz w:val="22"/>
          <w:szCs w:val="22"/>
        </w:rPr>
        <w:t xml:space="preserve"> If</w:t>
      </w:r>
      <w:r w:rsidRPr="00632671">
        <w:rPr>
          <w:sz w:val="22"/>
          <w:szCs w:val="22"/>
        </w:rPr>
        <w:t xml:space="preserve"> the tenderer intends to subcontract one or more parts of the contracted services, this must be clearly stated in the </w:t>
      </w:r>
      <w:r>
        <w:rPr>
          <w:sz w:val="22"/>
          <w:szCs w:val="22"/>
        </w:rPr>
        <w:t>organisation and methodology and the t</w:t>
      </w:r>
      <w:r w:rsidRPr="00632671">
        <w:rPr>
          <w:sz w:val="22"/>
          <w:szCs w:val="22"/>
        </w:rPr>
        <w:t>ender submission form.</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All subcontractors must be eligible for the contract.</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Subcontractors 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00530C99">
        <w:fldChar w:fldCharType="begin"/>
      </w:r>
      <w:r w:rsidR="00530C99">
        <w:instrText xml:space="preserve"> REF _Ref499982672 \r \h  \* MERGEFORMAT </w:instrText>
      </w:r>
      <w:r w:rsidR="00530C99">
        <w:fldChar w:fldCharType="separate"/>
      </w:r>
      <w:r w:rsidR="007A0123">
        <w:t>8</w:t>
      </w:r>
      <w:r w:rsidR="00530C99">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w:t>
      </w:r>
      <w:r w:rsidR="00AB1A26" w:rsidRPr="002B370E">
        <w:rPr>
          <w:sz w:val="22"/>
          <w:szCs w:val="22"/>
        </w:rPr>
        <w:t xml:space="preserve">and </w:t>
      </w:r>
      <w:r w:rsidR="00AB1A26">
        <w:rPr>
          <w:sz w:val="22"/>
          <w:szCs w:val="22"/>
        </w:rPr>
        <w:t xml:space="preserve">1 </w:t>
      </w:r>
      <w:r w:rsidR="00AB1A26">
        <w:rPr>
          <w:sz w:val="22"/>
          <w:szCs w:val="22"/>
          <w:lang w:val="bg-BG"/>
        </w:rPr>
        <w:t>(</w:t>
      </w:r>
      <w:r w:rsidR="00AB1A26">
        <w:rPr>
          <w:sz w:val="22"/>
          <w:szCs w:val="22"/>
          <w:lang w:val="en-US"/>
        </w:rPr>
        <w:t>one</w:t>
      </w:r>
      <w:r w:rsidR="00AB1A26">
        <w:rPr>
          <w:sz w:val="22"/>
          <w:szCs w:val="22"/>
          <w:lang w:val="bg-BG"/>
        </w:rPr>
        <w:t>)</w:t>
      </w:r>
      <w:r w:rsidR="00AB1A26">
        <w:rPr>
          <w:sz w:val="22"/>
          <w:szCs w:val="22"/>
          <w:lang w:val="en-US"/>
        </w:rPr>
        <w:t xml:space="preserve"> </w:t>
      </w:r>
      <w:r w:rsidR="00AB1A26" w:rsidRPr="002B370E">
        <w:rPr>
          <w:sz w:val="22"/>
          <w:szCs w:val="22"/>
        </w:rPr>
        <w:t>cop</w:t>
      </w:r>
      <w:r w:rsidR="00AB1A26">
        <w:rPr>
          <w:sz w:val="22"/>
          <w:szCs w:val="22"/>
        </w:rPr>
        <w:t>y</w:t>
      </w:r>
      <w:r w:rsidR="00AB1A26" w:rsidRPr="002B370E">
        <w:rPr>
          <w:sz w:val="22"/>
          <w:szCs w:val="22"/>
        </w:rPr>
        <w:t xml:space="preserve">, </w:t>
      </w:r>
      <w:r w:rsidR="00AB1A26">
        <w:rPr>
          <w:sz w:val="22"/>
          <w:szCs w:val="22"/>
        </w:rPr>
        <w:t>clearly</w:t>
      </w:r>
      <w:r w:rsidR="00AB1A26" w:rsidRPr="002B370E">
        <w:rPr>
          <w:sz w:val="22"/>
          <w:szCs w:val="22"/>
        </w:rPr>
        <w:t xml:space="preserve"> marked </w:t>
      </w:r>
      <w:r w:rsidR="00AB1A26">
        <w:rPr>
          <w:sz w:val="22"/>
          <w:szCs w:val="22"/>
        </w:rPr>
        <w:t>‘</w:t>
      </w:r>
      <w:r w:rsidR="00AB1A26" w:rsidRPr="002B370E">
        <w:rPr>
          <w:b/>
          <w:sz w:val="22"/>
          <w:szCs w:val="22"/>
        </w:rPr>
        <w:t>Copy</w:t>
      </w:r>
      <w:r w:rsidR="00AB1A26">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00530C99">
        <w:fldChar w:fldCharType="begin"/>
      </w:r>
      <w:r w:rsidR="00530C99">
        <w:instrText xml:space="preserve"> REF _Ref499982672 \r \h  \* MERGEFORMAT </w:instrText>
      </w:r>
      <w:r w:rsidR="00530C99">
        <w:fldChar w:fldCharType="separate"/>
      </w:r>
      <w:r w:rsidR="007A0123">
        <w:t>8</w:t>
      </w:r>
      <w:r w:rsidR="00530C99">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w:t>
      </w:r>
      <w:r w:rsidRPr="001B1598">
        <w:rPr>
          <w:sz w:val="22"/>
          <w:szCs w:val="22"/>
        </w:rPr>
        <w:lastRenderedPageBreak/>
        <w:t>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9724CA" w:rsidRDefault="009724CA" w:rsidP="009724CA">
      <w:pPr>
        <w:numPr>
          <w:ilvl w:val="0"/>
          <w:numId w:val="20"/>
        </w:numPr>
        <w:tabs>
          <w:tab w:val="clear" w:pos="1980"/>
          <w:tab w:val="left" w:pos="540"/>
        </w:tabs>
        <w:spacing w:before="120" w:after="120"/>
        <w:ind w:hanging="1980"/>
        <w:jc w:val="both"/>
        <w:rPr>
          <w:sz w:val="22"/>
          <w:szCs w:val="22"/>
        </w:rPr>
      </w:pPr>
      <w:r w:rsidRPr="00B86309">
        <w:rPr>
          <w:b/>
          <w:sz w:val="22"/>
          <w:szCs w:val="22"/>
        </w:rPr>
        <w:t>Key experts</w:t>
      </w:r>
      <w:r w:rsidRPr="00B86309">
        <w:rPr>
          <w:sz w:val="22"/>
          <w:szCs w:val="22"/>
        </w:rPr>
        <w:t xml:space="preserve"> are not required for this tender</w:t>
      </w:r>
      <w:r w:rsidRPr="00C53A7B">
        <w:rPr>
          <w:sz w:val="22"/>
          <w:szCs w:val="22"/>
        </w:rPr>
        <w:t xml:space="preserve"> </w:t>
      </w:r>
    </w:p>
    <w:p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 xml:space="preserve">) is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9724CA">
        <w:rPr>
          <w:color w:val="000000"/>
          <w:sz w:val="22"/>
          <w:szCs w:val="22"/>
        </w:rPr>
        <w:t xml:space="preserve">Documentary evidence of the financial and economic capacity </w:t>
      </w:r>
      <w:r w:rsidR="000F0B96" w:rsidRPr="009724CA">
        <w:rPr>
          <w:color w:val="000000"/>
          <w:sz w:val="22"/>
          <w:szCs w:val="22"/>
        </w:rPr>
        <w:t>and/or of</w:t>
      </w:r>
      <w:r w:rsidRPr="009724CA">
        <w:rPr>
          <w:color w:val="000000"/>
          <w:sz w:val="22"/>
          <w:szCs w:val="22"/>
        </w:rPr>
        <w:t xml:space="preserve"> the technical and professional capacity according to the selection criteria specified in </w:t>
      </w:r>
      <w:r w:rsidR="005D2BA9" w:rsidRPr="009724CA">
        <w:rPr>
          <w:color w:val="000000"/>
          <w:sz w:val="22"/>
          <w:szCs w:val="22"/>
        </w:rPr>
        <w:t xml:space="preserve">point 16 of </w:t>
      </w:r>
      <w:r w:rsidRPr="009724CA">
        <w:rPr>
          <w:color w:val="000000"/>
          <w:sz w:val="22"/>
          <w:szCs w:val="22"/>
        </w:rPr>
        <w:t xml:space="preserve">the </w:t>
      </w:r>
      <w:r w:rsidR="00412107" w:rsidRPr="009724CA">
        <w:rPr>
          <w:color w:val="000000"/>
          <w:sz w:val="22"/>
          <w:szCs w:val="22"/>
        </w:rPr>
        <w:t xml:space="preserve">contract </w:t>
      </w:r>
      <w:r w:rsidRPr="009724CA">
        <w:rPr>
          <w:color w:val="000000"/>
          <w:sz w:val="22"/>
          <w:szCs w:val="22"/>
        </w:rPr>
        <w:t xml:space="preserve">notice. </w:t>
      </w:r>
      <w:r w:rsidR="00C3216F" w:rsidRPr="009724CA">
        <w:rPr>
          <w:sz w:val="22"/>
          <w:szCs w:val="22"/>
        </w:rPr>
        <w:t>(S</w:t>
      </w:r>
      <w:r w:rsidRPr="009724CA">
        <w:rPr>
          <w:sz w:val="22"/>
          <w:szCs w:val="22"/>
        </w:rPr>
        <w:t xml:space="preserve">ee further </w:t>
      </w:r>
      <w:r w:rsidR="00543D27" w:rsidRPr="009724CA">
        <w:rPr>
          <w:sz w:val="22"/>
          <w:szCs w:val="22"/>
        </w:rPr>
        <w:t>Section</w:t>
      </w:r>
      <w:r w:rsidRPr="009724CA">
        <w:rPr>
          <w:sz w:val="22"/>
          <w:szCs w:val="22"/>
        </w:rPr>
        <w:t xml:space="preserve"> 2.</w:t>
      </w:r>
      <w:r w:rsidR="00C330E1" w:rsidRPr="009724CA">
        <w:rPr>
          <w:sz w:val="22"/>
          <w:szCs w:val="22"/>
        </w:rPr>
        <w:t>6</w:t>
      </w:r>
      <w:r w:rsidRPr="009724CA">
        <w:rPr>
          <w:sz w:val="22"/>
          <w:szCs w:val="22"/>
        </w:rPr>
        <w:t xml:space="preserve">.11 of the </w:t>
      </w:r>
      <w:r w:rsidR="00C330E1" w:rsidRPr="009724CA">
        <w:rPr>
          <w:sz w:val="22"/>
          <w:szCs w:val="22"/>
        </w:rPr>
        <w:t>p</w:t>
      </w:r>
      <w:r w:rsidRPr="009724CA">
        <w:rPr>
          <w:sz w:val="22"/>
          <w:szCs w:val="22"/>
        </w:rPr>
        <w:t xml:space="preserve">ractical </w:t>
      </w:r>
      <w:r w:rsidR="00C330E1" w:rsidRPr="009724CA">
        <w:rPr>
          <w:sz w:val="22"/>
          <w:szCs w:val="22"/>
        </w:rPr>
        <w:t>g</w:t>
      </w:r>
      <w:r w:rsidRPr="009724CA">
        <w:rPr>
          <w:sz w:val="22"/>
          <w:szCs w:val="22"/>
        </w:rPr>
        <w:t>uide).</w:t>
      </w:r>
      <w:r w:rsidR="00804556" w:rsidRPr="009724CA">
        <w:rPr>
          <w:sz w:val="22"/>
          <w:szCs w:val="22"/>
        </w:rPr>
        <w:t>]</w:t>
      </w:r>
      <w:r w:rsidRPr="00B21E35">
        <w:rPr>
          <w:color w:val="000000"/>
          <w:sz w:val="22"/>
          <w:szCs w:val="22"/>
        </w:rPr>
        <w:t xml:space="preserve"> </w:t>
      </w:r>
    </w:p>
    <w:p w:rsidR="003121C6" w:rsidRDefault="003121C6" w:rsidP="003436FE">
      <w:pPr>
        <w:spacing w:before="120" w:after="120"/>
        <w:jc w:val="both"/>
        <w:rPr>
          <w:sz w:val="22"/>
          <w:szCs w:val="22"/>
        </w:rPr>
      </w:pPr>
      <w:r w:rsidRPr="00354516">
        <w:rPr>
          <w:sz w:val="22"/>
          <w:szCs w:val="22"/>
          <w:lang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lastRenderedPageBreak/>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9724CA" w:rsidRPr="00B86309" w:rsidRDefault="009724CA" w:rsidP="009724CA">
      <w:pPr>
        <w:shd w:val="clear" w:color="auto" w:fill="FFFFFF"/>
        <w:spacing w:before="120" w:after="120"/>
        <w:jc w:val="both"/>
        <w:rPr>
          <w:sz w:val="22"/>
          <w:szCs w:val="22"/>
        </w:rPr>
      </w:pPr>
      <w:r w:rsidRPr="00B86309">
        <w:rPr>
          <w:sz w:val="22"/>
          <w:szCs w:val="22"/>
        </w:rPr>
        <w:t>The financial offer must be presented as an amount in Euro and must be submitted using the template for the global-price version of Annex V to part B of this tender dossier. The electronic version of this document ‘B8 — Budget for a global-price contract’ can be found on the website</w:t>
      </w:r>
    </w:p>
    <w:p w:rsidR="009724CA" w:rsidRPr="00B86309" w:rsidRDefault="00B07BB4" w:rsidP="009724CA">
      <w:pPr>
        <w:shd w:val="clear" w:color="auto" w:fill="FFFFFF"/>
        <w:spacing w:before="120" w:after="120"/>
        <w:jc w:val="both"/>
        <w:rPr>
          <w:color w:val="0000FF"/>
          <w:sz w:val="22"/>
          <w:szCs w:val="22"/>
        </w:rPr>
      </w:pPr>
      <w:hyperlink r:id="rId9" w:history="1">
        <w:r w:rsidR="009724CA" w:rsidRPr="00B86309">
          <w:rPr>
            <w:rStyle w:val="Hyperlink"/>
            <w:sz w:val="22"/>
            <w:szCs w:val="22"/>
          </w:rPr>
          <w:t>http://ec.europa.eu/europeaid/prag/document.do</w:t>
        </w:r>
      </w:hyperlink>
      <w:r w:rsidR="009724CA" w:rsidRPr="00B86309">
        <w:rPr>
          <w:sz w:val="22"/>
          <w:szCs w:val="22"/>
        </w:rPr>
        <w:t>.</w:t>
      </w:r>
    </w:p>
    <w:p w:rsidR="00B6757B" w:rsidRPr="002B370E" w:rsidRDefault="00B6757B" w:rsidP="00B6757B">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Pr>
          <w:sz w:val="22"/>
          <w:szCs w:val="22"/>
        </w:rPr>
        <w:t>contract</w:t>
      </w:r>
      <w:r w:rsidRPr="002B370E">
        <w:rPr>
          <w:sz w:val="22"/>
          <w:szCs w:val="22"/>
        </w:rPr>
        <w:t xml:space="preserve"> notice, is </w:t>
      </w:r>
      <w:r>
        <w:rPr>
          <w:sz w:val="22"/>
          <w:szCs w:val="22"/>
        </w:rPr>
        <w:t xml:space="preserve">26.800 EUR (VAT excluded). </w:t>
      </w:r>
      <w:r w:rsidRPr="00D03D52">
        <w:rPr>
          <w:sz w:val="22"/>
          <w:szCs w:val="22"/>
        </w:rPr>
        <w:t>The currency of the tender is the EUR. Payments under this contract will be made in EUR for foreign companies and RSD for Serbian companies.</w:t>
      </w:r>
      <w:r>
        <w:rPr>
          <w:sz w:val="22"/>
          <w:szCs w:val="22"/>
        </w:rPr>
        <w:t xml:space="preserve"> </w:t>
      </w:r>
      <w:r w:rsidRPr="00D03D52">
        <w:rPr>
          <w:sz w:val="22"/>
          <w:szCs w:val="22"/>
        </w:rPr>
        <w:t>In case the contract is concluded in EURO, and payments are made in national currencies</w:t>
      </w:r>
      <w:r>
        <w:rPr>
          <w:sz w:val="22"/>
          <w:szCs w:val="22"/>
        </w:rPr>
        <w:t xml:space="preserve"> (RSD)</w:t>
      </w:r>
      <w:r w:rsidRPr="00D03D52">
        <w:rPr>
          <w:sz w:val="22"/>
          <w:szCs w:val="22"/>
        </w:rPr>
        <w:t xml:space="preserve">, applicable exchange rate must be </w:t>
      </w:r>
      <w:proofErr w:type="spellStart"/>
      <w:r w:rsidRPr="00D03D52">
        <w:rPr>
          <w:sz w:val="22"/>
          <w:szCs w:val="22"/>
        </w:rPr>
        <w:t>InforEuro</w:t>
      </w:r>
      <w:proofErr w:type="spellEnd"/>
      <w:r w:rsidRPr="00D03D52">
        <w:rPr>
          <w:sz w:val="22"/>
          <w:szCs w:val="22"/>
        </w:rPr>
        <w:t xml:space="preserve"> exchange rate for the month of the issuing of invoice or pre-invoice in case of VAT exemption.</w:t>
      </w:r>
    </w:p>
    <w:p w:rsidR="00B6757B" w:rsidRPr="002B370E" w:rsidRDefault="00B6757B" w:rsidP="00B6757B">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Pr>
          <w:sz w:val="22"/>
          <w:szCs w:val="22"/>
        </w:rPr>
        <w:t>s:</w:t>
      </w:r>
    </w:p>
    <w:p w:rsidR="00B6757B" w:rsidRPr="002B370E" w:rsidRDefault="00B6757B" w:rsidP="00B6757B">
      <w:pPr>
        <w:keepNext/>
        <w:shd w:val="clear" w:color="auto" w:fill="FFFFFF"/>
        <w:spacing w:before="120" w:after="120"/>
        <w:jc w:val="both"/>
        <w:rPr>
          <w:sz w:val="22"/>
          <w:szCs w:val="22"/>
          <w:u w:val="single"/>
        </w:rPr>
      </w:pPr>
      <w:r w:rsidRPr="002B370E">
        <w:rPr>
          <w:sz w:val="22"/>
          <w:szCs w:val="22"/>
          <w:u w:val="single"/>
        </w:rPr>
        <w:t>Exemption of taxes</w:t>
      </w:r>
    </w:p>
    <w:p w:rsidR="00B6757B" w:rsidRDefault="00B6757B" w:rsidP="00B6757B">
      <w:pPr>
        <w:spacing w:before="120"/>
        <w:jc w:val="both"/>
        <w:rPr>
          <w:sz w:val="22"/>
          <w:szCs w:val="22"/>
        </w:rPr>
      </w:pPr>
      <w:r w:rsidRPr="00D03D52">
        <w:rPr>
          <w:sz w:val="22"/>
          <w:szCs w:val="22"/>
        </w:rPr>
        <w:t xml:space="preserve">The European Commission and the Republic of Serbia have agreed in “Framework Agreement”, signed on 23.12.2014, to exonerate the VAT taxes. More specific information such as details of the competent authority of the partner country, a reference to exemption procedures are prescribed by the national legislation in force.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rsidR="003436FE" w:rsidRDefault="003436FE" w:rsidP="00B01D95">
      <w:pPr>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rsidR="00B01D95" w:rsidRDefault="00B01D95" w:rsidP="00363E9C">
      <w:pPr>
        <w:pStyle w:val="PRAGHeading2"/>
        <w:numPr>
          <w:ilvl w:val="0"/>
          <w:numId w:val="0"/>
        </w:numPr>
        <w:spacing w:before="0" w:after="0"/>
        <w:ind w:left="720"/>
        <w:rPr>
          <w:sz w:val="22"/>
          <w:szCs w:val="22"/>
        </w:rPr>
      </w:pPr>
    </w:p>
    <w:p w:rsidR="00363E9C" w:rsidRDefault="00363E9C" w:rsidP="00363E9C">
      <w:pPr>
        <w:pStyle w:val="PRAGHeading2"/>
        <w:numPr>
          <w:ilvl w:val="0"/>
          <w:numId w:val="0"/>
        </w:numPr>
        <w:spacing w:before="0" w:after="0"/>
        <w:ind w:left="720"/>
        <w:rPr>
          <w:sz w:val="22"/>
          <w:szCs w:val="22"/>
        </w:rPr>
      </w:pPr>
      <w:r>
        <w:rPr>
          <w:sz w:val="22"/>
          <w:szCs w:val="22"/>
        </w:rPr>
        <w:t xml:space="preserve">To: </w:t>
      </w:r>
      <w:r w:rsidR="00C97C1D">
        <w:rPr>
          <w:sz w:val="22"/>
          <w:szCs w:val="22"/>
        </w:rPr>
        <w:t xml:space="preserve">Public library of </w:t>
      </w:r>
      <w:proofErr w:type="spellStart"/>
      <w:r w:rsidR="00C97C1D">
        <w:rPr>
          <w:sz w:val="22"/>
          <w:szCs w:val="22"/>
        </w:rPr>
        <w:t>Merošina</w:t>
      </w:r>
      <w:proofErr w:type="spellEnd"/>
    </w:p>
    <w:p w:rsidR="00363E9C" w:rsidRDefault="00363E9C" w:rsidP="00363E9C">
      <w:pPr>
        <w:pStyle w:val="PRAGHeading2"/>
        <w:numPr>
          <w:ilvl w:val="0"/>
          <w:numId w:val="0"/>
        </w:numPr>
        <w:spacing w:before="0" w:after="0"/>
        <w:ind w:left="720"/>
        <w:rPr>
          <w:sz w:val="22"/>
          <w:szCs w:val="22"/>
        </w:rPr>
      </w:pPr>
      <w:r w:rsidRPr="00912C9D">
        <w:rPr>
          <w:sz w:val="22"/>
          <w:szCs w:val="22"/>
        </w:rPr>
        <w:lastRenderedPageBreak/>
        <w:t xml:space="preserve">Contact </w:t>
      </w:r>
      <w:r>
        <w:rPr>
          <w:sz w:val="22"/>
          <w:szCs w:val="22"/>
        </w:rPr>
        <w:t xml:space="preserve">person: </w:t>
      </w:r>
      <w:proofErr w:type="spellStart"/>
      <w:r w:rsidR="00C97C1D">
        <w:rPr>
          <w:sz w:val="22"/>
          <w:szCs w:val="22"/>
        </w:rPr>
        <w:t>Miloš</w:t>
      </w:r>
      <w:proofErr w:type="spellEnd"/>
      <w:r w:rsidR="00C97C1D">
        <w:rPr>
          <w:sz w:val="22"/>
          <w:szCs w:val="22"/>
        </w:rPr>
        <w:t xml:space="preserve"> </w:t>
      </w:r>
      <w:proofErr w:type="spellStart"/>
      <w:r w:rsidR="00C97C1D">
        <w:rPr>
          <w:sz w:val="22"/>
          <w:szCs w:val="22"/>
        </w:rPr>
        <w:t>Miloše</w:t>
      </w:r>
      <w:r w:rsidR="001C7B67">
        <w:rPr>
          <w:sz w:val="22"/>
          <w:szCs w:val="22"/>
        </w:rPr>
        <w:t>vić</w:t>
      </w:r>
      <w:proofErr w:type="spellEnd"/>
    </w:p>
    <w:p w:rsidR="00363E9C" w:rsidRDefault="00363E9C" w:rsidP="00363E9C">
      <w:pPr>
        <w:pStyle w:val="PRAGHeading2"/>
        <w:numPr>
          <w:ilvl w:val="0"/>
          <w:numId w:val="0"/>
        </w:numPr>
        <w:spacing w:before="0" w:after="0"/>
        <w:ind w:firstLine="720"/>
        <w:rPr>
          <w:sz w:val="22"/>
          <w:szCs w:val="22"/>
          <w:shd w:val="clear" w:color="auto" w:fill="FFFFFF"/>
        </w:rPr>
      </w:pPr>
      <w:r w:rsidRPr="00803560">
        <w:rPr>
          <w:sz w:val="22"/>
          <w:szCs w:val="22"/>
          <w:lang w:val="en-GB"/>
        </w:rPr>
        <w:t xml:space="preserve">Address for correspondence: </w:t>
      </w:r>
      <w:r w:rsidR="00C97C1D">
        <w:rPr>
          <w:sz w:val="22"/>
          <w:szCs w:val="22"/>
          <w:lang w:val="en-GB"/>
        </w:rPr>
        <w:t xml:space="preserve">Cara </w:t>
      </w:r>
      <w:proofErr w:type="spellStart"/>
      <w:r w:rsidR="00C97C1D">
        <w:rPr>
          <w:sz w:val="22"/>
          <w:szCs w:val="22"/>
          <w:lang w:val="en-GB"/>
        </w:rPr>
        <w:t>Lazara</w:t>
      </w:r>
      <w:proofErr w:type="spellEnd"/>
      <w:r w:rsidR="00C97C1D">
        <w:rPr>
          <w:sz w:val="22"/>
          <w:szCs w:val="22"/>
          <w:lang w:val="en-GB"/>
        </w:rPr>
        <w:t xml:space="preserve"> </w:t>
      </w:r>
      <w:proofErr w:type="gramStart"/>
      <w:r w:rsidR="00C97C1D">
        <w:rPr>
          <w:sz w:val="22"/>
          <w:szCs w:val="22"/>
          <w:lang w:val="en-GB"/>
        </w:rPr>
        <w:t>19 .</w:t>
      </w:r>
      <w:proofErr w:type="gramEnd"/>
      <w:r w:rsidR="00C97C1D">
        <w:rPr>
          <w:sz w:val="22"/>
          <w:szCs w:val="22"/>
          <w:lang w:val="en-GB"/>
        </w:rPr>
        <w:t xml:space="preserve"> 18252, </w:t>
      </w:r>
      <w:proofErr w:type="spellStart"/>
      <w:r w:rsidR="00C97C1D">
        <w:rPr>
          <w:sz w:val="22"/>
          <w:szCs w:val="22"/>
          <w:lang w:val="en-GB"/>
        </w:rPr>
        <w:t>Merošina</w:t>
      </w:r>
      <w:proofErr w:type="spellEnd"/>
      <w:r w:rsidRPr="00803560">
        <w:rPr>
          <w:sz w:val="22"/>
          <w:szCs w:val="22"/>
          <w:shd w:val="clear" w:color="auto" w:fill="FFFFFF"/>
        </w:rPr>
        <w:t xml:space="preserve"> </w:t>
      </w:r>
    </w:p>
    <w:p w:rsidR="00363E9C" w:rsidRPr="00912C9D" w:rsidRDefault="00363E9C" w:rsidP="00363E9C">
      <w:pPr>
        <w:pStyle w:val="PRAGHeading2"/>
        <w:numPr>
          <w:ilvl w:val="0"/>
          <w:numId w:val="0"/>
        </w:numPr>
        <w:spacing w:before="0" w:after="0"/>
        <w:ind w:left="720"/>
        <w:rPr>
          <w:sz w:val="22"/>
          <w:szCs w:val="22"/>
          <w:lang w:val="en-GB"/>
        </w:rPr>
      </w:pPr>
      <w:r w:rsidRPr="00912C9D">
        <w:rPr>
          <w:sz w:val="22"/>
          <w:szCs w:val="22"/>
        </w:rPr>
        <w:t>Tel: +</w:t>
      </w:r>
      <w:r w:rsidR="00DB1A96">
        <w:rPr>
          <w:sz w:val="22"/>
          <w:szCs w:val="22"/>
          <w:lang w:val="en-GB"/>
        </w:rPr>
        <w:t>381 1</w:t>
      </w:r>
      <w:r w:rsidR="00C97C1D">
        <w:rPr>
          <w:sz w:val="22"/>
          <w:szCs w:val="22"/>
          <w:lang w:val="en-GB"/>
        </w:rPr>
        <w:t>8 4892022</w:t>
      </w:r>
    </w:p>
    <w:p w:rsidR="00363E9C" w:rsidRPr="00912C9D" w:rsidRDefault="00363E9C" w:rsidP="00363E9C">
      <w:pPr>
        <w:pStyle w:val="PRAGHeading2"/>
        <w:numPr>
          <w:ilvl w:val="0"/>
          <w:numId w:val="0"/>
        </w:numPr>
        <w:spacing w:before="0" w:after="0"/>
        <w:ind w:left="720"/>
        <w:rPr>
          <w:sz w:val="22"/>
          <w:szCs w:val="22"/>
          <w:lang w:val="en-GB"/>
        </w:rPr>
      </w:pPr>
      <w:r w:rsidRPr="00912C9D">
        <w:rPr>
          <w:sz w:val="22"/>
          <w:szCs w:val="22"/>
          <w:lang w:val="en-GB"/>
        </w:rPr>
        <w:t>Fax: not applicable</w:t>
      </w:r>
    </w:p>
    <w:p w:rsidR="00363E9C" w:rsidRPr="00912C9D" w:rsidRDefault="00363E9C" w:rsidP="00363E9C">
      <w:pPr>
        <w:pStyle w:val="PRAGHeading2"/>
        <w:numPr>
          <w:ilvl w:val="0"/>
          <w:numId w:val="0"/>
        </w:numPr>
        <w:spacing w:before="0" w:after="0"/>
        <w:ind w:left="720"/>
        <w:rPr>
          <w:sz w:val="22"/>
          <w:szCs w:val="22"/>
        </w:rPr>
      </w:pPr>
      <w:r w:rsidRPr="00912C9D">
        <w:rPr>
          <w:sz w:val="22"/>
          <w:szCs w:val="22"/>
        </w:rPr>
        <w:t>e-mail:</w:t>
      </w:r>
      <w:r w:rsidR="00C97C1D">
        <w:rPr>
          <w:sz w:val="22"/>
          <w:szCs w:val="22"/>
        </w:rPr>
        <w:t xml:space="preserve"> biblioteka.merosina@yahoo.com</w:t>
      </w:r>
    </w:p>
    <w:p w:rsidR="003436FE" w:rsidRPr="002B370E" w:rsidRDefault="003436FE" w:rsidP="003436FE">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1140D1" w:rsidRDefault="003436FE" w:rsidP="003436FE">
      <w:pPr>
        <w:keepNext/>
        <w:numPr>
          <w:ilvl w:val="0"/>
          <w:numId w:val="26"/>
        </w:numPr>
        <w:spacing w:before="120" w:after="120"/>
        <w:jc w:val="both"/>
        <w:rPr>
          <w:b/>
          <w:sz w:val="24"/>
          <w:szCs w:val="24"/>
        </w:rPr>
      </w:pPr>
      <w:bookmarkStart w:id="3" w:name="_Ref499614274"/>
      <w:bookmarkStart w:id="4" w:name="_Ref499982672"/>
      <w:r w:rsidRPr="001140D1">
        <w:rPr>
          <w:b/>
          <w:sz w:val="24"/>
          <w:szCs w:val="24"/>
        </w:rPr>
        <w:t>Submission of tenders</w:t>
      </w:r>
      <w:bookmarkEnd w:id="3"/>
      <w:bookmarkEnd w:id="4"/>
    </w:p>
    <w:p w:rsidR="003436FE" w:rsidRPr="002B370E" w:rsidRDefault="003436FE" w:rsidP="003436FE">
      <w:pPr>
        <w:spacing w:before="120" w:after="120"/>
        <w:jc w:val="both"/>
        <w:rPr>
          <w:sz w:val="22"/>
          <w:szCs w:val="22"/>
        </w:rPr>
      </w:pPr>
      <w:r w:rsidRPr="001140D1">
        <w:rPr>
          <w:sz w:val="22"/>
          <w:szCs w:val="22"/>
        </w:rPr>
        <w:t xml:space="preserve">Tenders must be </w:t>
      </w:r>
      <w:r w:rsidR="00AB326E" w:rsidRPr="001140D1">
        <w:rPr>
          <w:sz w:val="22"/>
          <w:szCs w:val="22"/>
        </w:rPr>
        <w:t>sent</w:t>
      </w:r>
      <w:r w:rsidRPr="001140D1">
        <w:rPr>
          <w:sz w:val="22"/>
          <w:szCs w:val="22"/>
        </w:rPr>
        <w:t xml:space="preserve"> </w:t>
      </w:r>
      <w:r w:rsidR="0014136C" w:rsidRPr="001140D1">
        <w:rPr>
          <w:sz w:val="22"/>
          <w:szCs w:val="22"/>
        </w:rPr>
        <w:t xml:space="preserve">to the </w:t>
      </w:r>
      <w:r w:rsidR="00491B4A" w:rsidRPr="001140D1">
        <w:rPr>
          <w:sz w:val="22"/>
          <w:szCs w:val="22"/>
        </w:rPr>
        <w:t>c</w:t>
      </w:r>
      <w:r w:rsidR="0014136C" w:rsidRPr="001140D1">
        <w:rPr>
          <w:sz w:val="22"/>
          <w:szCs w:val="22"/>
        </w:rPr>
        <w:t xml:space="preserve">ontracting </w:t>
      </w:r>
      <w:r w:rsidR="00491B4A" w:rsidRPr="001140D1">
        <w:rPr>
          <w:sz w:val="22"/>
          <w:szCs w:val="22"/>
        </w:rPr>
        <w:t>a</w:t>
      </w:r>
      <w:r w:rsidR="0014136C" w:rsidRPr="001140D1">
        <w:rPr>
          <w:sz w:val="22"/>
          <w:szCs w:val="22"/>
        </w:rPr>
        <w:t xml:space="preserve">uthority </w:t>
      </w:r>
      <w:r w:rsidRPr="001140D1">
        <w:rPr>
          <w:sz w:val="22"/>
          <w:szCs w:val="22"/>
        </w:rPr>
        <w:t xml:space="preserve">before </w:t>
      </w:r>
      <w:r w:rsidR="001140D1" w:rsidRPr="001140D1">
        <w:rPr>
          <w:sz w:val="22"/>
          <w:szCs w:val="22"/>
        </w:rPr>
        <w:t>12</w:t>
      </w:r>
      <w:r w:rsidR="001433D2" w:rsidRPr="001140D1">
        <w:rPr>
          <w:sz w:val="22"/>
          <w:szCs w:val="22"/>
        </w:rPr>
        <w:t>.</w:t>
      </w:r>
      <w:r w:rsidR="00F96F56" w:rsidRPr="001140D1">
        <w:rPr>
          <w:sz w:val="22"/>
          <w:szCs w:val="22"/>
        </w:rPr>
        <w:t>1</w:t>
      </w:r>
      <w:r w:rsidR="00521505" w:rsidRPr="001140D1">
        <w:rPr>
          <w:sz w:val="22"/>
          <w:szCs w:val="22"/>
        </w:rPr>
        <w:t>1</w:t>
      </w:r>
      <w:r w:rsidR="001433D2" w:rsidRPr="001140D1">
        <w:rPr>
          <w:sz w:val="22"/>
          <w:szCs w:val="22"/>
        </w:rPr>
        <w:t>.2019, 1</w:t>
      </w:r>
      <w:r w:rsidR="00521505" w:rsidRPr="001140D1">
        <w:rPr>
          <w:sz w:val="22"/>
          <w:szCs w:val="22"/>
        </w:rPr>
        <w:t>5</w:t>
      </w:r>
      <w:r w:rsidR="001433D2" w:rsidRPr="001140D1">
        <w:rPr>
          <w:sz w:val="22"/>
          <w:szCs w:val="22"/>
        </w:rPr>
        <w:t>.00 h</w:t>
      </w:r>
      <w:r w:rsidRPr="001140D1">
        <w:rPr>
          <w:sz w:val="22"/>
          <w:szCs w:val="22"/>
        </w:rPr>
        <w:t>. They must include the requested documents in clause 4 above and be sent:</w:t>
      </w:r>
    </w:p>
    <w:p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2"/>
      </w:r>
      <w:r w:rsidR="00D44374" w:rsidRPr="00D44374">
        <w:rPr>
          <w:sz w:val="22"/>
          <w:szCs w:val="22"/>
        </w:rPr>
        <w:t xml:space="preserve">, </w:t>
      </w:r>
      <w:r w:rsidRPr="002B370E">
        <w:rPr>
          <w:sz w:val="22"/>
          <w:szCs w:val="22"/>
        </w:rPr>
        <w:t>to:</w:t>
      </w:r>
    </w:p>
    <w:p w:rsidR="00363E9C" w:rsidRPr="00197FEA" w:rsidRDefault="00C97C1D" w:rsidP="00363E9C">
      <w:pPr>
        <w:ind w:left="720"/>
        <w:jc w:val="center"/>
        <w:outlineLvl w:val="0"/>
        <w:rPr>
          <w:sz w:val="22"/>
          <w:szCs w:val="22"/>
          <w:shd w:val="clear" w:color="auto" w:fill="FFFFFF"/>
        </w:rPr>
      </w:pPr>
      <w:r>
        <w:rPr>
          <w:sz w:val="22"/>
          <w:szCs w:val="22"/>
          <w:shd w:val="clear" w:color="auto" w:fill="FFFFFF"/>
        </w:rPr>
        <w:t xml:space="preserve">Public library of </w:t>
      </w:r>
      <w:proofErr w:type="spellStart"/>
      <w:r>
        <w:rPr>
          <w:sz w:val="22"/>
          <w:szCs w:val="22"/>
          <w:shd w:val="clear" w:color="auto" w:fill="FFFFFF"/>
        </w:rPr>
        <w:t>Merošina</w:t>
      </w:r>
      <w:proofErr w:type="spellEnd"/>
    </w:p>
    <w:p w:rsidR="00363E9C" w:rsidRDefault="00363E9C" w:rsidP="00363E9C">
      <w:pPr>
        <w:pStyle w:val="PRAGHeading2"/>
        <w:numPr>
          <w:ilvl w:val="0"/>
          <w:numId w:val="0"/>
        </w:numPr>
        <w:spacing w:before="0" w:after="0"/>
        <w:ind w:left="720"/>
        <w:jc w:val="center"/>
        <w:rPr>
          <w:sz w:val="22"/>
          <w:szCs w:val="22"/>
          <w:shd w:val="clear" w:color="auto" w:fill="FFFFFF"/>
        </w:rPr>
      </w:pPr>
      <w:r w:rsidRPr="00197FEA">
        <w:rPr>
          <w:sz w:val="22"/>
          <w:szCs w:val="22"/>
          <w:lang w:val="en-GB"/>
        </w:rPr>
        <w:t>Address</w:t>
      </w:r>
      <w:r w:rsidR="00DB1A96">
        <w:rPr>
          <w:sz w:val="22"/>
          <w:szCs w:val="22"/>
          <w:lang w:val="en-GB"/>
        </w:rPr>
        <w:t xml:space="preserve">: </w:t>
      </w:r>
      <w:r w:rsidR="00C97C1D">
        <w:rPr>
          <w:sz w:val="22"/>
          <w:szCs w:val="22"/>
          <w:lang w:val="en-GB"/>
        </w:rPr>
        <w:t xml:space="preserve">Cara </w:t>
      </w:r>
      <w:proofErr w:type="spellStart"/>
      <w:r w:rsidR="00C97C1D">
        <w:rPr>
          <w:sz w:val="22"/>
          <w:szCs w:val="22"/>
          <w:lang w:val="en-GB"/>
        </w:rPr>
        <w:t>Lazara</w:t>
      </w:r>
      <w:proofErr w:type="spellEnd"/>
      <w:r w:rsidR="00C97C1D">
        <w:rPr>
          <w:sz w:val="22"/>
          <w:szCs w:val="22"/>
          <w:lang w:val="en-GB"/>
        </w:rPr>
        <w:t xml:space="preserve"> 19</w:t>
      </w:r>
      <w:r w:rsidR="00DB1A96">
        <w:rPr>
          <w:sz w:val="22"/>
          <w:szCs w:val="22"/>
          <w:lang w:val="en-GB"/>
        </w:rPr>
        <w:t>, 18</w:t>
      </w:r>
      <w:r w:rsidR="00C97C1D">
        <w:rPr>
          <w:sz w:val="22"/>
          <w:szCs w:val="22"/>
          <w:lang w:val="en-GB"/>
        </w:rPr>
        <w:t>252</w:t>
      </w:r>
      <w:r w:rsidR="00DB1A96">
        <w:rPr>
          <w:sz w:val="22"/>
          <w:szCs w:val="22"/>
          <w:lang w:val="en-GB"/>
        </w:rPr>
        <w:t xml:space="preserve"> </w:t>
      </w:r>
      <w:proofErr w:type="spellStart"/>
      <w:r w:rsidR="00C97C1D">
        <w:rPr>
          <w:sz w:val="22"/>
          <w:szCs w:val="22"/>
          <w:lang w:val="en-GB"/>
        </w:rPr>
        <w:t>Mero</w:t>
      </w:r>
      <w:r w:rsidR="00DB1A96">
        <w:rPr>
          <w:sz w:val="22"/>
          <w:szCs w:val="22"/>
          <w:lang w:val="en-GB"/>
        </w:rPr>
        <w:t>š</w:t>
      </w:r>
      <w:r w:rsidR="00C97C1D">
        <w:rPr>
          <w:sz w:val="22"/>
          <w:szCs w:val="22"/>
          <w:lang w:val="en-GB"/>
        </w:rPr>
        <w:t>ina</w:t>
      </w:r>
      <w:proofErr w:type="spellEnd"/>
      <w:r w:rsidR="00DB1A96">
        <w:rPr>
          <w:sz w:val="22"/>
          <w:szCs w:val="22"/>
          <w:lang w:val="en-GB"/>
        </w:rPr>
        <w:t>, Serbia</w:t>
      </w:r>
    </w:p>
    <w:p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rsidR="00C97C1D" w:rsidRPr="00197FEA" w:rsidRDefault="00C97C1D" w:rsidP="00C97C1D">
      <w:pPr>
        <w:numPr>
          <w:ilvl w:val="0"/>
          <w:numId w:val="39"/>
        </w:numPr>
        <w:jc w:val="center"/>
        <w:outlineLvl w:val="0"/>
        <w:rPr>
          <w:sz w:val="22"/>
          <w:szCs w:val="22"/>
          <w:shd w:val="clear" w:color="auto" w:fill="FFFFFF"/>
        </w:rPr>
      </w:pPr>
      <w:r>
        <w:rPr>
          <w:sz w:val="22"/>
          <w:szCs w:val="22"/>
          <w:shd w:val="clear" w:color="auto" w:fill="FFFFFF"/>
        </w:rPr>
        <w:t xml:space="preserve">Public library of </w:t>
      </w:r>
      <w:proofErr w:type="spellStart"/>
      <w:r>
        <w:rPr>
          <w:sz w:val="22"/>
          <w:szCs w:val="22"/>
          <w:shd w:val="clear" w:color="auto" w:fill="FFFFFF"/>
        </w:rPr>
        <w:t>Merošina</w:t>
      </w:r>
      <w:proofErr w:type="spellEnd"/>
    </w:p>
    <w:p w:rsidR="00C97C1D" w:rsidRDefault="00C97C1D" w:rsidP="00C97C1D">
      <w:pPr>
        <w:pStyle w:val="PRAGHeading2"/>
        <w:numPr>
          <w:ilvl w:val="0"/>
          <w:numId w:val="39"/>
        </w:numPr>
        <w:spacing w:before="0" w:after="0"/>
        <w:jc w:val="center"/>
        <w:rPr>
          <w:sz w:val="22"/>
          <w:szCs w:val="22"/>
          <w:shd w:val="clear" w:color="auto" w:fill="FFFFFF"/>
        </w:rPr>
      </w:pPr>
      <w:r w:rsidRPr="00197FEA">
        <w:rPr>
          <w:sz w:val="22"/>
          <w:szCs w:val="22"/>
          <w:lang w:val="en-GB"/>
        </w:rPr>
        <w:t>Address</w:t>
      </w:r>
      <w:r>
        <w:rPr>
          <w:sz w:val="22"/>
          <w:szCs w:val="22"/>
          <w:lang w:val="en-GB"/>
        </w:rPr>
        <w:t xml:space="preserve">: Cara </w:t>
      </w:r>
      <w:proofErr w:type="spellStart"/>
      <w:r>
        <w:rPr>
          <w:sz w:val="22"/>
          <w:szCs w:val="22"/>
          <w:lang w:val="en-GB"/>
        </w:rPr>
        <w:t>Lazara</w:t>
      </w:r>
      <w:proofErr w:type="spellEnd"/>
      <w:r>
        <w:rPr>
          <w:sz w:val="22"/>
          <w:szCs w:val="22"/>
          <w:lang w:val="en-GB"/>
        </w:rPr>
        <w:t xml:space="preserve"> 19, 18252 </w:t>
      </w:r>
      <w:proofErr w:type="spellStart"/>
      <w:r>
        <w:rPr>
          <w:sz w:val="22"/>
          <w:szCs w:val="22"/>
          <w:lang w:val="en-GB"/>
        </w:rPr>
        <w:t>Merošina</w:t>
      </w:r>
      <w:proofErr w:type="spellEnd"/>
      <w:r>
        <w:rPr>
          <w:sz w:val="22"/>
          <w:szCs w:val="22"/>
          <w:lang w:val="en-GB"/>
        </w:rPr>
        <w:t>, Serbia</w:t>
      </w:r>
    </w:p>
    <w:p w:rsidR="00363E9C" w:rsidRPr="00197FEA" w:rsidRDefault="00363E9C" w:rsidP="00363E9C">
      <w:pPr>
        <w:pStyle w:val="PRAGHeading2"/>
        <w:numPr>
          <w:ilvl w:val="0"/>
          <w:numId w:val="0"/>
        </w:numPr>
        <w:spacing w:before="0" w:after="0"/>
        <w:ind w:left="720"/>
        <w:jc w:val="center"/>
        <w:rPr>
          <w:sz w:val="22"/>
          <w:szCs w:val="22"/>
          <w:lang w:val="en-GB"/>
        </w:rPr>
      </w:pPr>
      <w:r>
        <w:rPr>
          <w:sz w:val="22"/>
          <w:szCs w:val="22"/>
          <w:lang w:val="en-GB"/>
        </w:rPr>
        <w:t>Opening hours: 0</w:t>
      </w:r>
      <w:r w:rsidR="00C97C1D">
        <w:rPr>
          <w:sz w:val="22"/>
          <w:szCs w:val="22"/>
          <w:lang w:val="en-GB"/>
        </w:rPr>
        <w:t>8:</w:t>
      </w:r>
      <w:r>
        <w:rPr>
          <w:sz w:val="22"/>
          <w:szCs w:val="22"/>
          <w:lang w:val="en-GB"/>
        </w:rPr>
        <w:t>00 to 1</w:t>
      </w:r>
      <w:r w:rsidR="00C97C1D">
        <w:rPr>
          <w:sz w:val="22"/>
          <w:szCs w:val="22"/>
          <w:lang w:val="en-GB"/>
        </w:rPr>
        <w:t>5</w:t>
      </w:r>
      <w:r>
        <w:rPr>
          <w:sz w:val="22"/>
          <w:szCs w:val="22"/>
          <w:lang w:val="en-GB"/>
        </w:rPr>
        <w:t>.00 /Monday to Friday/</w:t>
      </w:r>
    </w:p>
    <w:p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rsidR="007B7D7B" w:rsidRDefault="007B7D7B" w:rsidP="003436FE">
      <w:pPr>
        <w:spacing w:before="120" w:after="120"/>
        <w:jc w:val="both"/>
        <w:rPr>
          <w:rStyle w:val="Strong"/>
          <w:sz w:val="22"/>
          <w:szCs w:val="22"/>
        </w:rPr>
      </w:pPr>
    </w:p>
    <w:p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rsidR="003436FE" w:rsidRPr="002B370E" w:rsidRDefault="003436FE" w:rsidP="003436FE">
      <w:pPr>
        <w:spacing w:before="120" w:after="120"/>
        <w:jc w:val="both"/>
        <w:rPr>
          <w:sz w:val="22"/>
          <w:szCs w:val="22"/>
        </w:rPr>
      </w:pPr>
    </w:p>
    <w:p w:rsidR="00363E9C" w:rsidRPr="002B370E" w:rsidRDefault="00363E9C" w:rsidP="00363E9C">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363E9C" w:rsidRPr="002B370E" w:rsidRDefault="00363E9C" w:rsidP="00363E9C">
      <w:pPr>
        <w:numPr>
          <w:ilvl w:val="0"/>
          <w:numId w:val="24"/>
        </w:numPr>
        <w:tabs>
          <w:tab w:val="clear" w:pos="861"/>
        </w:tabs>
        <w:spacing w:before="120" w:after="120"/>
        <w:ind w:left="426" w:hanging="284"/>
        <w:rPr>
          <w:sz w:val="22"/>
          <w:szCs w:val="22"/>
        </w:rPr>
      </w:pPr>
      <w:r w:rsidRPr="002B370E">
        <w:rPr>
          <w:sz w:val="22"/>
          <w:szCs w:val="22"/>
        </w:rPr>
        <w:lastRenderedPageBreak/>
        <w:t>the address for submi</w:t>
      </w:r>
      <w:r>
        <w:rPr>
          <w:sz w:val="22"/>
          <w:szCs w:val="22"/>
        </w:rPr>
        <w:t>tting</w:t>
      </w:r>
      <w:r w:rsidRPr="002B370E">
        <w:rPr>
          <w:sz w:val="22"/>
          <w:szCs w:val="22"/>
        </w:rPr>
        <w:t xml:space="preserve"> tenders indicated above; </w:t>
      </w:r>
    </w:p>
    <w:p w:rsidR="00363E9C" w:rsidRPr="002B370E" w:rsidRDefault="00363E9C" w:rsidP="00363E9C">
      <w:pPr>
        <w:numPr>
          <w:ilvl w:val="0"/>
          <w:numId w:val="24"/>
        </w:numPr>
        <w:tabs>
          <w:tab w:val="clear" w:pos="861"/>
        </w:tabs>
        <w:spacing w:before="120" w:after="120"/>
        <w:ind w:left="426" w:hanging="284"/>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Pr>
          <w:sz w:val="22"/>
          <w:szCs w:val="22"/>
          <w:lang w:val="en-US"/>
        </w:rPr>
        <w:t>CB007.2.</w:t>
      </w:r>
      <w:r w:rsidR="00C97C1D">
        <w:rPr>
          <w:sz w:val="22"/>
          <w:szCs w:val="22"/>
          <w:lang w:val="en-US"/>
        </w:rPr>
        <w:t>13.212</w:t>
      </w:r>
      <w:r>
        <w:rPr>
          <w:sz w:val="22"/>
          <w:szCs w:val="22"/>
          <w:lang w:val="en-US"/>
        </w:rPr>
        <w:t>-SERV-01</w:t>
      </w:r>
      <w:r w:rsidRPr="002B370E">
        <w:rPr>
          <w:sz w:val="22"/>
          <w:szCs w:val="22"/>
        </w:rPr>
        <w:t>);</w:t>
      </w:r>
    </w:p>
    <w:p w:rsidR="00363E9C" w:rsidRPr="00912C9D" w:rsidRDefault="00363E9C" w:rsidP="00363E9C">
      <w:pPr>
        <w:numPr>
          <w:ilvl w:val="0"/>
          <w:numId w:val="24"/>
        </w:numPr>
        <w:tabs>
          <w:tab w:val="clear" w:pos="861"/>
        </w:tabs>
        <w:spacing w:before="120" w:after="120"/>
        <w:ind w:left="426" w:hanging="284"/>
        <w:jc w:val="both"/>
        <w:rPr>
          <w:i/>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Pr>
          <w:sz w:val="22"/>
          <w:szCs w:val="22"/>
          <w:lang w:val="bg-BG"/>
        </w:rPr>
        <w:t>„</w:t>
      </w:r>
      <w:r w:rsidR="00176C72">
        <w:rPr>
          <w:i/>
          <w:sz w:val="22"/>
          <w:szCs w:val="22"/>
          <w:lang w:val="sr-Latn-RS"/>
        </w:rPr>
        <w:t xml:space="preserve">Ne otvarati pre otvaranja </w:t>
      </w:r>
      <w:proofErr w:type="gramStart"/>
      <w:r w:rsidR="00176C72">
        <w:rPr>
          <w:i/>
          <w:sz w:val="22"/>
          <w:szCs w:val="22"/>
          <w:lang w:val="sr-Latn-RS"/>
        </w:rPr>
        <w:t xml:space="preserve">tendera </w:t>
      </w:r>
      <w:r w:rsidRPr="00912C9D">
        <w:rPr>
          <w:i/>
          <w:sz w:val="22"/>
          <w:szCs w:val="22"/>
          <w:lang w:val="bg-BG"/>
        </w:rPr>
        <w:t>”</w:t>
      </w:r>
      <w:proofErr w:type="gramEnd"/>
      <w:r w:rsidRPr="00912C9D">
        <w:rPr>
          <w:i/>
          <w:sz w:val="22"/>
          <w:szCs w:val="22"/>
          <w:lang w:val="bg-BG"/>
        </w:rPr>
        <w:t>;</w:t>
      </w:r>
    </w:p>
    <w:p w:rsidR="00363E9C" w:rsidRPr="002B370E" w:rsidRDefault="00363E9C" w:rsidP="00363E9C">
      <w:pPr>
        <w:numPr>
          <w:ilvl w:val="0"/>
          <w:numId w:val="24"/>
        </w:numPr>
        <w:tabs>
          <w:tab w:val="clear" w:pos="861"/>
        </w:tabs>
        <w:spacing w:before="120" w:after="120"/>
        <w:ind w:left="426" w:hanging="284"/>
        <w:rPr>
          <w:sz w:val="22"/>
          <w:szCs w:val="22"/>
        </w:rPr>
      </w:pPr>
      <w:r w:rsidRPr="002B370E">
        <w:rPr>
          <w:sz w:val="22"/>
          <w:szCs w:val="22"/>
        </w:rPr>
        <w:t>the name of the tenderer.</w:t>
      </w:r>
    </w:p>
    <w:p w:rsidR="00363E9C" w:rsidRPr="002B370E" w:rsidRDefault="00363E9C" w:rsidP="00363E9C">
      <w:pPr>
        <w:spacing w:before="120" w:after="120"/>
        <w:jc w:val="both"/>
        <w:rPr>
          <w:sz w:val="22"/>
          <w:szCs w:val="22"/>
        </w:rPr>
      </w:pPr>
      <w:r w:rsidRPr="002B370E">
        <w:rPr>
          <w:sz w:val="22"/>
          <w:szCs w:val="22"/>
        </w:rPr>
        <w:t xml:space="preserve">The pages of the </w:t>
      </w:r>
      <w:r>
        <w:rPr>
          <w:sz w:val="22"/>
          <w:szCs w:val="22"/>
        </w:rPr>
        <w:t>t</w:t>
      </w:r>
      <w:r w:rsidRPr="002B370E">
        <w:rPr>
          <w:sz w:val="22"/>
          <w:szCs w:val="22"/>
        </w:rPr>
        <w:t xml:space="preserve">echnical and </w:t>
      </w:r>
      <w:r>
        <w:rPr>
          <w:sz w:val="22"/>
          <w:szCs w:val="22"/>
        </w:rPr>
        <w:t>f</w:t>
      </w:r>
      <w:r w:rsidRPr="002B370E">
        <w:rPr>
          <w:sz w:val="22"/>
          <w:szCs w:val="22"/>
        </w:rPr>
        <w:t>inancial offers must be numbered.</w:t>
      </w: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00530C99">
        <w:fldChar w:fldCharType="begin"/>
      </w:r>
      <w:r w:rsidR="00530C99">
        <w:instrText xml:space="preserve"> REF _Ref499982672 \r \h  \* MERGEFORMAT </w:instrText>
      </w:r>
      <w:r w:rsidR="00530C99">
        <w:fldChar w:fldCharType="separate"/>
      </w:r>
      <w:r w:rsidR="007A0123">
        <w:t>8</w:t>
      </w:r>
      <w:r w:rsidR="00530C99">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0"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rsidR="00294800" w:rsidRPr="00294800" w:rsidRDefault="00294800" w:rsidP="00294800">
      <w:pPr>
        <w:spacing w:before="120" w:after="120"/>
        <w:jc w:val="both"/>
        <w:rPr>
          <w:sz w:val="22"/>
          <w:szCs w:val="22"/>
        </w:rPr>
      </w:pPr>
      <w:r w:rsidRPr="00363E9C">
        <w:rPr>
          <w:sz w:val="22"/>
          <w:szCs w:val="22"/>
        </w:rPr>
        <w:t>No interviews are foreseen.</w:t>
      </w:r>
      <w:r w:rsidRPr="00294800">
        <w:rPr>
          <w:sz w:val="22"/>
          <w:szCs w:val="22"/>
        </w:rPr>
        <w:t xml:space="preserve"> </w:t>
      </w:r>
      <w:r w:rsidR="00D32C37">
        <w:rPr>
          <w:sz w:val="22"/>
          <w:szCs w:val="22"/>
        </w:rPr>
        <w:t xml:space="preserve"> </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rsidR="003436FE" w:rsidRPr="002B370E" w:rsidRDefault="003436FE" w:rsidP="003436FE">
      <w:pPr>
        <w:keepNext/>
        <w:spacing w:before="120" w:after="120"/>
        <w:jc w:val="both"/>
        <w:rPr>
          <w:b/>
          <w:sz w:val="22"/>
          <w:szCs w:val="22"/>
          <w:u w:val="single"/>
        </w:rPr>
      </w:pPr>
      <w:r w:rsidRPr="002B370E">
        <w:rPr>
          <w:b/>
          <w:sz w:val="22"/>
          <w:szCs w:val="22"/>
        </w:rPr>
        <w:lastRenderedPageBreak/>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 and sexual abuse:</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w:t>
      </w:r>
      <w:r w:rsidRPr="00121005">
        <w:rPr>
          <w:sz w:val="22"/>
          <w:szCs w:val="22"/>
        </w:rPr>
        <w:lastRenderedPageBreak/>
        <w:t>from any act relating to the award of a contract or execution of a contract already concluded with the contracting authority</w:t>
      </w:r>
      <w:r>
        <w:rPr>
          <w:sz w:val="22"/>
          <w:szCs w:val="22"/>
        </w:rPr>
        <w:t>.</w:t>
      </w:r>
      <w:r w:rsidR="003436FE" w:rsidRPr="002B370E">
        <w:rPr>
          <w:sz w:val="22"/>
          <w:szCs w:val="22"/>
        </w:rPr>
        <w:t xml:space="preserve"> </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121005" w:rsidP="003436FE">
      <w:pPr>
        <w:spacing w:before="120" w:after="120"/>
        <w:ind w:left="567" w:hanging="567"/>
        <w:jc w:val="both"/>
        <w:rPr>
          <w:sz w:val="22"/>
          <w:szCs w:val="22"/>
        </w:rPr>
      </w:pPr>
      <w:r w:rsidRPr="00B01D95">
        <w:rPr>
          <w:sz w:val="22"/>
          <w:szCs w:val="22"/>
        </w:rPr>
        <w:t xml:space="preserve">         </w:t>
      </w:r>
      <w:r w:rsidR="003436FE" w:rsidRPr="00B01D95">
        <w:rPr>
          <w:sz w:val="22"/>
          <w:szCs w:val="22"/>
        </w:rPr>
        <w:t>The</w:t>
      </w:r>
      <w:r w:rsidR="003436FE" w:rsidRPr="002B370E">
        <w:rPr>
          <w:sz w:val="22"/>
          <w:szCs w:val="22"/>
        </w:rPr>
        <w:t xml:space="preserv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proofErr w:type="gramStart"/>
      <w:r w:rsidR="00F11E9B">
        <w:rPr>
          <w:rStyle w:val="Style11pt"/>
          <w:szCs w:val="22"/>
        </w:rPr>
        <w:t>second</w:t>
      </w:r>
      <w:r w:rsidR="00F11E9B">
        <w:rPr>
          <w:rStyle w:val="Style11pt"/>
        </w:rPr>
        <w:t xml:space="preserve"> best</w:t>
      </w:r>
      <w:proofErr w:type="gramEnd"/>
      <w:r w:rsidR="00F11E9B">
        <w:rPr>
          <w:rStyle w:val="Style11pt"/>
        </w:rPr>
        <w:t xml:space="preserve">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The validity of the offer of the </w:t>
      </w:r>
      <w:proofErr w:type="gramStart"/>
      <w:r w:rsidR="00F11E9B">
        <w:rPr>
          <w:rStyle w:val="Style11pt"/>
        </w:rPr>
        <w:t>second best</w:t>
      </w:r>
      <w:proofErr w:type="gramEnd"/>
      <w:r w:rsidR="00F11E9B">
        <w:rPr>
          <w:rStyle w:val="Style11pt"/>
        </w:rPr>
        <w:t xml:space="preserve"> tenderer will be kept.</w:t>
      </w:r>
      <w:r w:rsidR="007A0123">
        <w:rPr>
          <w:rStyle w:val="Style11pt"/>
        </w:rPr>
        <w:t xml:space="preserve"> 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Cancellation of the tender procedure</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3436FE" w:rsidRPr="00FF1FE0" w:rsidRDefault="00363E9C" w:rsidP="003436FE">
      <w:pPr>
        <w:keepNext/>
        <w:spacing w:before="240" w:after="240"/>
        <w:jc w:val="both"/>
        <w:rPr>
          <w:b/>
          <w:bCs/>
          <w:sz w:val="24"/>
          <w:szCs w:val="24"/>
        </w:rPr>
      </w:pPr>
      <w:r>
        <w:rPr>
          <w:b/>
          <w:bCs/>
          <w:sz w:val="24"/>
          <w:szCs w:val="24"/>
        </w:rPr>
        <w:t>17</w:t>
      </w:r>
      <w:r w:rsidR="003436FE" w:rsidRPr="00FF1FE0">
        <w:rPr>
          <w:b/>
          <w:bCs/>
          <w:sz w:val="24"/>
          <w:szCs w:val="24"/>
        </w:rPr>
        <w:t>.</w:t>
      </w:r>
      <w:r w:rsidR="003436FE"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003436FE" w:rsidRPr="00FF1FE0">
        <w:rPr>
          <w:b/>
          <w:bCs/>
          <w:sz w:val="24"/>
          <w:szCs w:val="24"/>
        </w:rPr>
        <w:t xml:space="preserve"> and </w:t>
      </w:r>
      <w:r w:rsidR="0086089C" w:rsidRPr="00FF1FE0">
        <w:rPr>
          <w:b/>
          <w:bCs/>
          <w:sz w:val="24"/>
          <w:szCs w:val="24"/>
        </w:rPr>
        <w:t>e</w:t>
      </w:r>
      <w:r w:rsidR="003436FE"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7BB4" w:rsidRDefault="00B07BB4">
      <w:r>
        <w:separator/>
      </w:r>
    </w:p>
  </w:endnote>
  <w:endnote w:type="continuationSeparator" w:id="0">
    <w:p w:rsidR="00B07BB4" w:rsidRDefault="00B07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panose1 w:val="010106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Default="009E7EAF">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Pr="00A94AD3"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rFonts w:ascii="Arial" w:hAnsi="Arial"/>
      </w:rPr>
      <w:tab/>
    </w:r>
    <w:r w:rsidR="00C06F58" w:rsidRPr="00A94AD3">
      <w:rPr>
        <w:sz w:val="18"/>
        <w:szCs w:val="18"/>
      </w:rPr>
      <w:t xml:space="preserve">Page </w:t>
    </w:r>
    <w:r w:rsidR="009E7EAF" w:rsidRPr="00A94AD3">
      <w:rPr>
        <w:rStyle w:val="PageNumber"/>
        <w:sz w:val="18"/>
        <w:szCs w:val="18"/>
      </w:rPr>
      <w:fldChar w:fldCharType="begin"/>
    </w:r>
    <w:r w:rsidR="00C06F58" w:rsidRPr="00A94AD3">
      <w:rPr>
        <w:rStyle w:val="PageNumber"/>
        <w:sz w:val="18"/>
        <w:szCs w:val="18"/>
      </w:rPr>
      <w:instrText xml:space="preserve"> PAGE </w:instrText>
    </w:r>
    <w:r w:rsidR="009E7EAF" w:rsidRPr="00A94AD3">
      <w:rPr>
        <w:rStyle w:val="PageNumber"/>
        <w:sz w:val="18"/>
        <w:szCs w:val="18"/>
      </w:rPr>
      <w:fldChar w:fldCharType="separate"/>
    </w:r>
    <w:r w:rsidR="001433D2">
      <w:rPr>
        <w:rStyle w:val="PageNumber"/>
        <w:noProof/>
        <w:sz w:val="18"/>
        <w:szCs w:val="18"/>
      </w:rPr>
      <w:t>2</w:t>
    </w:r>
    <w:r w:rsidR="009E7EAF" w:rsidRPr="00A94AD3">
      <w:rPr>
        <w:rStyle w:val="PageNumber"/>
        <w:sz w:val="18"/>
        <w:szCs w:val="18"/>
      </w:rPr>
      <w:fldChar w:fldCharType="end"/>
    </w:r>
    <w:r w:rsidR="00C06F58" w:rsidRPr="00A94AD3">
      <w:rPr>
        <w:rStyle w:val="PageNumber"/>
        <w:sz w:val="18"/>
        <w:szCs w:val="18"/>
      </w:rPr>
      <w:t xml:space="preserve"> of </w:t>
    </w:r>
    <w:r w:rsidR="009E7EAF" w:rsidRPr="00A94AD3">
      <w:rPr>
        <w:rStyle w:val="PageNumber"/>
        <w:sz w:val="18"/>
        <w:szCs w:val="18"/>
      </w:rPr>
      <w:fldChar w:fldCharType="begin"/>
    </w:r>
    <w:r w:rsidR="00C06F58" w:rsidRPr="00A94AD3">
      <w:rPr>
        <w:rStyle w:val="PageNumber"/>
        <w:sz w:val="18"/>
        <w:szCs w:val="18"/>
      </w:rPr>
      <w:instrText xml:space="preserve"> NUMPAGES </w:instrText>
    </w:r>
    <w:r w:rsidR="009E7EAF" w:rsidRPr="00A94AD3">
      <w:rPr>
        <w:rStyle w:val="PageNumber"/>
        <w:sz w:val="18"/>
        <w:szCs w:val="18"/>
      </w:rPr>
      <w:fldChar w:fldCharType="separate"/>
    </w:r>
    <w:r w:rsidR="001433D2">
      <w:rPr>
        <w:rStyle w:val="PageNumber"/>
        <w:noProof/>
        <w:sz w:val="18"/>
        <w:szCs w:val="18"/>
      </w:rPr>
      <w:t>9</w:t>
    </w:r>
    <w:r w:rsidR="009E7EAF" w:rsidRPr="00A94AD3">
      <w:rPr>
        <w:rStyle w:val="PageNumber"/>
        <w:sz w:val="18"/>
        <w:szCs w:val="18"/>
      </w:rPr>
      <w:fldChar w:fldCharType="end"/>
    </w:r>
  </w:p>
  <w:p w:rsidR="00C06F58" w:rsidRPr="00A94AD3" w:rsidRDefault="009E7EAF"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Pr="002B370E"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sz w:val="18"/>
        <w:szCs w:val="18"/>
      </w:rPr>
      <w:tab/>
      <w:t xml:space="preserve">Page </w:t>
    </w:r>
    <w:r w:rsidR="009E7EAF" w:rsidRPr="002B370E">
      <w:rPr>
        <w:rStyle w:val="PageNumber"/>
        <w:sz w:val="18"/>
        <w:szCs w:val="18"/>
      </w:rPr>
      <w:fldChar w:fldCharType="begin"/>
    </w:r>
    <w:r w:rsidR="00C06F58" w:rsidRPr="002B370E">
      <w:rPr>
        <w:rStyle w:val="PageNumber"/>
        <w:sz w:val="18"/>
        <w:szCs w:val="18"/>
      </w:rPr>
      <w:instrText xml:space="preserve"> PAGE </w:instrText>
    </w:r>
    <w:r w:rsidR="009E7EAF" w:rsidRPr="002B370E">
      <w:rPr>
        <w:rStyle w:val="PageNumber"/>
        <w:sz w:val="18"/>
        <w:szCs w:val="18"/>
      </w:rPr>
      <w:fldChar w:fldCharType="separate"/>
    </w:r>
    <w:r w:rsidR="00A1168C">
      <w:rPr>
        <w:rStyle w:val="PageNumber"/>
        <w:noProof/>
        <w:sz w:val="18"/>
        <w:szCs w:val="18"/>
      </w:rPr>
      <w:t>1</w:t>
    </w:r>
    <w:r w:rsidR="009E7EAF" w:rsidRPr="002B370E">
      <w:rPr>
        <w:rStyle w:val="PageNumber"/>
        <w:sz w:val="18"/>
        <w:szCs w:val="18"/>
      </w:rPr>
      <w:fldChar w:fldCharType="end"/>
    </w:r>
    <w:r w:rsidR="00C06F58" w:rsidRPr="002B370E">
      <w:rPr>
        <w:rStyle w:val="PageNumber"/>
        <w:sz w:val="18"/>
        <w:szCs w:val="18"/>
      </w:rPr>
      <w:t xml:space="preserve"> of </w:t>
    </w:r>
    <w:r w:rsidR="009E7EAF" w:rsidRPr="002B370E">
      <w:rPr>
        <w:rStyle w:val="PageNumber"/>
        <w:sz w:val="18"/>
        <w:szCs w:val="18"/>
      </w:rPr>
      <w:fldChar w:fldCharType="begin"/>
    </w:r>
    <w:r w:rsidR="00C06F58" w:rsidRPr="002B370E">
      <w:rPr>
        <w:rStyle w:val="PageNumber"/>
        <w:sz w:val="18"/>
        <w:szCs w:val="18"/>
      </w:rPr>
      <w:instrText xml:space="preserve"> NUMPAGES </w:instrText>
    </w:r>
    <w:r w:rsidR="009E7EAF" w:rsidRPr="002B370E">
      <w:rPr>
        <w:rStyle w:val="PageNumber"/>
        <w:sz w:val="18"/>
        <w:szCs w:val="18"/>
      </w:rPr>
      <w:fldChar w:fldCharType="separate"/>
    </w:r>
    <w:r w:rsidR="00A1168C">
      <w:rPr>
        <w:rStyle w:val="PageNumber"/>
        <w:noProof/>
        <w:sz w:val="18"/>
        <w:szCs w:val="18"/>
      </w:rPr>
      <w:t>1</w:t>
    </w:r>
    <w:r w:rsidR="009E7EAF" w:rsidRPr="002B370E">
      <w:rPr>
        <w:rStyle w:val="PageNumber"/>
        <w:sz w:val="18"/>
        <w:szCs w:val="18"/>
      </w:rPr>
      <w:fldChar w:fldCharType="end"/>
    </w:r>
    <w:bookmarkStart w:id="5" w:name="_Hlt26943623"/>
    <w:bookmarkEnd w:id="5"/>
  </w:p>
  <w:p w:rsidR="00C06F58" w:rsidRDefault="009E7EAF"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p w:rsidR="00AB1A26" w:rsidRPr="00670DA4" w:rsidRDefault="00AB1A26" w:rsidP="00AB1A26">
    <w:pPr>
      <w:pStyle w:val="Footer"/>
      <w:jc w:val="center"/>
      <w:rPr>
        <w:i/>
      </w:rPr>
    </w:pPr>
    <w:proofErr w:type="spellStart"/>
    <w:r w:rsidRPr="00670DA4">
      <w:rPr>
        <w:i/>
        <w:lang w:val="bg-BG" w:eastAsia="bg-BG"/>
      </w:rPr>
      <w:t>The</w:t>
    </w:r>
    <w:proofErr w:type="spellEnd"/>
    <w:r w:rsidRPr="00670DA4">
      <w:rPr>
        <w:i/>
        <w:lang w:val="bg-BG" w:eastAsia="bg-BG"/>
      </w:rPr>
      <w:t xml:space="preserve"> </w:t>
    </w:r>
    <w:proofErr w:type="spellStart"/>
    <w:r w:rsidRPr="00670DA4">
      <w:rPr>
        <w:i/>
        <w:lang w:val="bg-BG" w:eastAsia="bg-BG"/>
      </w:rPr>
      <w:t>project</w:t>
    </w:r>
    <w:proofErr w:type="spellEnd"/>
    <w:r w:rsidRPr="00670DA4">
      <w:rPr>
        <w:i/>
        <w:lang w:val="bg-BG" w:eastAsia="bg-BG"/>
      </w:rPr>
      <w:t xml:space="preserve"> </w:t>
    </w:r>
    <w:proofErr w:type="spellStart"/>
    <w:r w:rsidRPr="00670DA4">
      <w:rPr>
        <w:i/>
        <w:lang w:val="bg-BG" w:eastAsia="bg-BG"/>
      </w:rPr>
      <w:t>is</w:t>
    </w:r>
    <w:proofErr w:type="spellEnd"/>
    <w:r w:rsidRPr="00670DA4">
      <w:rPr>
        <w:i/>
        <w:lang w:val="bg-BG" w:eastAsia="bg-BG"/>
      </w:rPr>
      <w:t xml:space="preserve"> </w:t>
    </w:r>
    <w:proofErr w:type="spellStart"/>
    <w:r w:rsidRPr="00670DA4">
      <w:rPr>
        <w:i/>
        <w:lang w:val="bg-BG" w:eastAsia="bg-BG"/>
      </w:rPr>
      <w:t>co-funded</w:t>
    </w:r>
    <w:proofErr w:type="spellEnd"/>
    <w:r w:rsidRPr="00670DA4">
      <w:rPr>
        <w:i/>
        <w:lang w:val="bg-BG" w:eastAsia="bg-BG"/>
      </w:rPr>
      <w:t xml:space="preserve"> </w:t>
    </w:r>
    <w:proofErr w:type="spellStart"/>
    <w:r w:rsidRPr="00670DA4">
      <w:rPr>
        <w:i/>
        <w:lang w:val="bg-BG" w:eastAsia="bg-BG"/>
      </w:rPr>
      <w:t>by</w:t>
    </w:r>
    <w:proofErr w:type="spellEnd"/>
    <w:r w:rsidRPr="00670DA4">
      <w:rPr>
        <w:i/>
        <w:lang w:val="bg-BG" w:eastAsia="bg-BG"/>
      </w:rPr>
      <w:t xml:space="preserve"> EU </w:t>
    </w:r>
    <w:proofErr w:type="spellStart"/>
    <w:r w:rsidRPr="00670DA4">
      <w:rPr>
        <w:i/>
        <w:lang w:val="bg-BG" w:eastAsia="bg-BG"/>
      </w:rPr>
      <w:t>through</w:t>
    </w:r>
    <w:proofErr w:type="spellEnd"/>
    <w:r w:rsidRPr="00670DA4">
      <w:rPr>
        <w:i/>
        <w:lang w:val="bg-BG" w:eastAsia="bg-BG"/>
      </w:rPr>
      <w:t xml:space="preserve"> </w:t>
    </w:r>
    <w:proofErr w:type="spellStart"/>
    <w:r w:rsidRPr="00670DA4">
      <w:rPr>
        <w:i/>
        <w:lang w:val="bg-BG" w:eastAsia="bg-BG"/>
      </w:rPr>
      <w:t>the</w:t>
    </w:r>
    <w:proofErr w:type="spellEnd"/>
    <w:r w:rsidRPr="00670DA4">
      <w:rPr>
        <w:i/>
        <w:lang w:val="bg-BG" w:eastAsia="bg-BG"/>
      </w:rPr>
      <w:t xml:space="preserve"> </w:t>
    </w:r>
    <w:proofErr w:type="spellStart"/>
    <w:r w:rsidRPr="00670DA4">
      <w:rPr>
        <w:i/>
        <w:lang w:val="bg-BG" w:eastAsia="bg-BG"/>
      </w:rPr>
      <w:t>Interreg</w:t>
    </w:r>
    <w:proofErr w:type="spellEnd"/>
    <w:r w:rsidRPr="00670DA4">
      <w:rPr>
        <w:i/>
        <w:lang w:val="bg-BG" w:eastAsia="bg-BG"/>
      </w:rPr>
      <w:t xml:space="preserve">-IPA CBC </w:t>
    </w:r>
    <w:proofErr w:type="spellStart"/>
    <w:r w:rsidRPr="00670DA4">
      <w:rPr>
        <w:i/>
        <w:lang w:val="bg-BG" w:eastAsia="bg-BG"/>
      </w:rPr>
      <w:t>Bulgaria</w:t>
    </w:r>
    <w:proofErr w:type="spellEnd"/>
    <w:r w:rsidRPr="00670DA4">
      <w:rPr>
        <w:i/>
        <w:lang w:val="bg-BG" w:eastAsia="bg-BG"/>
      </w:rPr>
      <w:t>–</w:t>
    </w:r>
    <w:proofErr w:type="spellStart"/>
    <w:r w:rsidRPr="00670DA4">
      <w:rPr>
        <w:i/>
        <w:lang w:val="bg-BG" w:eastAsia="bg-BG"/>
      </w:rPr>
      <w:t>Serbia</w:t>
    </w:r>
    <w:proofErr w:type="spellEnd"/>
    <w:r w:rsidRPr="00670DA4">
      <w:rPr>
        <w:i/>
        <w:lang w:eastAsia="bg-BG"/>
      </w:rPr>
      <w:t xml:space="preserve"> </w:t>
    </w:r>
    <w:proofErr w:type="spellStart"/>
    <w:r w:rsidRPr="00670DA4">
      <w:rPr>
        <w:i/>
        <w:lang w:val="bg-BG" w:eastAsia="bg-BG"/>
      </w:rPr>
      <w:t>Programme</w:t>
    </w:r>
    <w:proofErr w:type="spellEnd"/>
  </w:p>
  <w:p w:rsidR="00AB1A26" w:rsidRPr="002B370E" w:rsidRDefault="00AB1A26" w:rsidP="00AB1A26">
    <w:pPr>
      <w:pStyle w:val="Footer"/>
      <w:tabs>
        <w:tab w:val="clear" w:pos="4320"/>
        <w:tab w:val="clear" w:pos="8640"/>
        <w:tab w:val="right" w:pos="8080"/>
      </w:tabs>
      <w:rPr>
        <w:sz w:val="18"/>
        <w:szCs w:val="18"/>
      </w:rPr>
    </w:pPr>
  </w:p>
  <w:p w:rsidR="00AB1A26" w:rsidRPr="002B370E" w:rsidRDefault="00AB1A26" w:rsidP="003436FE">
    <w:pPr>
      <w:pStyle w:val="Footer"/>
      <w:tabs>
        <w:tab w:val="clear" w:pos="4320"/>
        <w:tab w:val="clear" w:pos="8640"/>
        <w:tab w:val="right" w:pos="808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7BB4" w:rsidRDefault="00B07BB4">
      <w:r>
        <w:separator/>
      </w:r>
    </w:p>
  </w:footnote>
  <w:footnote w:type="continuationSeparator" w:id="0">
    <w:p w:rsidR="00B07BB4" w:rsidRDefault="00B07BB4">
      <w:r>
        <w:continuationSeparator/>
      </w:r>
    </w:p>
  </w:footnote>
  <w:footnote w:id="1">
    <w:p w:rsidR="000D135C" w:rsidRPr="000D135C" w:rsidRDefault="000D135C">
      <w:pPr>
        <w:pStyle w:val="FootnoteText"/>
      </w:pPr>
      <w:r>
        <w:rPr>
          <w:rStyle w:val="FootnoteReference"/>
        </w:rPr>
        <w:footnoteRef/>
      </w:r>
      <w:r>
        <w:t xml:space="preserve"> See PRAG 2.6.10.1.3 A)</w:t>
      </w:r>
    </w:p>
  </w:footnote>
  <w:footnote w:id="2">
    <w:p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rsidR="000570D7" w:rsidRPr="000570D7" w:rsidRDefault="000570D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0D1" w:rsidRDefault="001140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0D1" w:rsidRDefault="001140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1A26" w:rsidRDefault="00AB1A26">
    <w:pPr>
      <w:pStyle w:val="Header"/>
      <w:jc w:val="center"/>
      <w:rPr>
        <w:b/>
        <w:sz w:val="32"/>
        <w:szCs w:val="32"/>
      </w:rPr>
    </w:pPr>
  </w:p>
  <w:tbl>
    <w:tblPr>
      <w:tblW w:w="9606" w:type="dxa"/>
      <w:tblLayout w:type="fixed"/>
      <w:tblLook w:val="01E0" w:firstRow="1" w:lastRow="1" w:firstColumn="1" w:lastColumn="1" w:noHBand="0" w:noVBand="0"/>
    </w:tblPr>
    <w:tblGrid>
      <w:gridCol w:w="1951"/>
      <w:gridCol w:w="3544"/>
      <w:gridCol w:w="4111"/>
    </w:tblGrid>
    <w:tr w:rsidR="00AB1A26" w:rsidRPr="0002359C" w:rsidTr="00024260">
      <w:trPr>
        <w:trHeight w:val="1123"/>
      </w:trPr>
      <w:tc>
        <w:tcPr>
          <w:tcW w:w="1951" w:type="dxa"/>
          <w:shd w:val="clear" w:color="auto" w:fill="auto"/>
          <w:vAlign w:val="center"/>
        </w:tcPr>
        <w:p w:rsidR="00AB1A26" w:rsidRPr="0002359C" w:rsidRDefault="00B07BB4" w:rsidP="00024260">
          <w:pPr>
            <w:pStyle w:val="Footer"/>
            <w:jc w:val="center"/>
            <w:rPr>
              <w:i/>
              <w:lang w:val="it-IT"/>
            </w:rPr>
          </w:pPr>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i1026" type="#_x0000_t75" alt="European Emblem" style="width:88.4pt;height:58.1pt;visibility:visible;mso-width-percent:0;mso-height-percent:0;mso-width-percent:0;mso-height-percent:0">
                <v:imagedata r:id="rId1" o:title="European Emblem"/>
              </v:shape>
            </w:pict>
          </w:r>
        </w:p>
      </w:tc>
      <w:tc>
        <w:tcPr>
          <w:tcW w:w="3544" w:type="dxa"/>
          <w:shd w:val="clear" w:color="auto" w:fill="auto"/>
          <w:vAlign w:val="center"/>
        </w:tcPr>
        <w:p w:rsidR="00AB1A26" w:rsidRPr="00D11941" w:rsidRDefault="00AB1A26" w:rsidP="00024260">
          <w:pPr>
            <w:pStyle w:val="Footer"/>
            <w:jc w:val="center"/>
            <w:rPr>
              <w:i/>
              <w:sz w:val="16"/>
              <w:szCs w:val="16"/>
              <w:lang w:val="it-IT"/>
            </w:rPr>
          </w:pPr>
          <w:r w:rsidRPr="00D11941">
            <w:rPr>
              <w:i/>
              <w:sz w:val="16"/>
              <w:szCs w:val="16"/>
              <w:lang w:val="it-IT"/>
            </w:rPr>
            <w:t xml:space="preserve">Interreg – IPA CBC Bulgaria – Serbia Programme </w:t>
          </w:r>
        </w:p>
        <w:p w:rsidR="00AB1A26" w:rsidRPr="00B72FA5" w:rsidRDefault="00AB1A26" w:rsidP="00024260">
          <w:pPr>
            <w:pStyle w:val="Footer"/>
            <w:jc w:val="center"/>
            <w:rPr>
              <w:i/>
              <w:lang w:val="it-IT"/>
            </w:rPr>
          </w:pPr>
          <w:r w:rsidRPr="00D11941">
            <w:rPr>
              <w:i/>
              <w:sz w:val="16"/>
              <w:szCs w:val="16"/>
              <w:lang w:val="it-IT"/>
            </w:rPr>
            <w:t>CCI Number 2014TC16I5CB007</w:t>
          </w:r>
        </w:p>
      </w:tc>
      <w:tc>
        <w:tcPr>
          <w:tcW w:w="4111" w:type="dxa"/>
          <w:shd w:val="clear" w:color="auto" w:fill="auto"/>
        </w:tcPr>
        <w:p w:rsidR="00AB1A26" w:rsidRDefault="00B07BB4" w:rsidP="00024260">
          <w:pPr>
            <w:pStyle w:val="Footer"/>
            <w:rPr>
              <w:i/>
              <w:lang w:val="it-IT"/>
            </w:rPr>
          </w:pPr>
          <w:r>
            <w:rPr>
              <w:i/>
              <w:noProof/>
            </w:rPr>
            <w:pict>
              <v:shape id="Картина 2" o:spid="_x0000_i1025" type="#_x0000_t75" alt="Interreg_IPA_CBC_BG+SRB_EN_TEST" style="width:201.45pt;height:51.8pt;visibility:visible;mso-width-percent:0;mso-height-percent:0;mso-width-percent:0;mso-height-percent:0">
                <v:imagedata r:id="rId2" o:title="Interreg_IPA_CBC_BG+SRB_EN_TEST"/>
              </v:shape>
            </w:pict>
          </w:r>
        </w:p>
        <w:p w:rsidR="00AB1A26" w:rsidRPr="00F5768B" w:rsidRDefault="00AB1A26" w:rsidP="00024260">
          <w:pPr>
            <w:tabs>
              <w:tab w:val="left" w:pos="989"/>
            </w:tabs>
            <w:rPr>
              <w:lang w:val="it-IT"/>
            </w:rPr>
          </w:pPr>
          <w:r>
            <w:rPr>
              <w:lang w:val="it-IT"/>
            </w:rPr>
            <w:tab/>
          </w:r>
        </w:p>
      </w:tc>
    </w:tr>
  </w:tbl>
  <w:p w:rsidR="00AB1A26" w:rsidRDefault="00AB1A26">
    <w:pPr>
      <w:pStyle w:val="Header"/>
      <w:jc w:val="center"/>
      <w:rPr>
        <w:b/>
        <w:sz w:val="32"/>
        <w:szCs w:val="32"/>
      </w:rPr>
    </w:pPr>
  </w:p>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3482F5A"/>
    <w:multiLevelType w:val="hybridMultilevel"/>
    <w:tmpl w:val="543AC724"/>
    <w:lvl w:ilvl="0" w:tplc="FFFFFFFF">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4"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5"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7"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8"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9"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0"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7"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8"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9"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0"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4"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5"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6"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9"/>
  </w:num>
  <w:num w:numId="3">
    <w:abstractNumId w:val="5"/>
  </w:num>
  <w:num w:numId="4">
    <w:abstractNumId w:val="6"/>
  </w:num>
  <w:num w:numId="5">
    <w:abstractNumId w:val="37"/>
  </w:num>
  <w:num w:numId="6">
    <w:abstractNumId w:val="10"/>
  </w:num>
  <w:num w:numId="7">
    <w:abstractNumId w:val="13"/>
  </w:num>
  <w:num w:numId="8">
    <w:abstractNumId w:val="9"/>
  </w:num>
  <w:num w:numId="9">
    <w:abstractNumId w:val="2"/>
  </w:num>
  <w:num w:numId="10">
    <w:abstractNumId w:val="26"/>
  </w:num>
  <w:num w:numId="11">
    <w:abstractNumId w:val="44"/>
  </w:num>
  <w:num w:numId="12">
    <w:abstractNumId w:val="16"/>
  </w:num>
  <w:num w:numId="13">
    <w:abstractNumId w:val="1"/>
  </w:num>
  <w:num w:numId="14">
    <w:abstractNumId w:val="11"/>
  </w:num>
  <w:num w:numId="15">
    <w:abstractNumId w:val="32"/>
  </w:num>
  <w:num w:numId="16">
    <w:abstractNumId w:val="4"/>
  </w:num>
  <w:num w:numId="17">
    <w:abstractNumId w:val="23"/>
  </w:num>
  <w:num w:numId="18">
    <w:abstractNumId w:val="24"/>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9"/>
  </w:num>
  <w:num w:numId="21">
    <w:abstractNumId w:val="27"/>
  </w:num>
  <w:num w:numId="22">
    <w:abstractNumId w:val="3"/>
  </w:num>
  <w:num w:numId="23">
    <w:abstractNumId w:val="39"/>
  </w:num>
  <w:num w:numId="24">
    <w:abstractNumId w:val="35"/>
  </w:num>
  <w:num w:numId="25">
    <w:abstractNumId w:val="15"/>
  </w:num>
  <w:num w:numId="26">
    <w:abstractNumId w:val="36"/>
  </w:num>
  <w:num w:numId="27">
    <w:abstractNumId w:val="17"/>
  </w:num>
  <w:num w:numId="28">
    <w:abstractNumId w:val="28"/>
  </w:num>
  <w:num w:numId="29">
    <w:abstractNumId w:val="18"/>
  </w:num>
  <w:num w:numId="30">
    <w:abstractNumId w:val="40"/>
  </w:num>
  <w:num w:numId="31">
    <w:abstractNumId w:val="19"/>
  </w:num>
  <w:num w:numId="32">
    <w:abstractNumId w:val="45"/>
  </w:num>
  <w:num w:numId="33">
    <w:abstractNumId w:val="33"/>
  </w:num>
  <w:num w:numId="34">
    <w:abstractNumId w:val="22"/>
  </w:num>
  <w:num w:numId="35">
    <w:abstractNumId w:val="21"/>
  </w:num>
  <w:num w:numId="36">
    <w:abstractNumId w:val="30"/>
  </w:num>
  <w:num w:numId="37">
    <w:abstractNumId w:val="34"/>
  </w:num>
  <w:num w:numId="38">
    <w:abstractNumId w:val="43"/>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1"/>
  </w:num>
  <w:num w:numId="41">
    <w:abstractNumId w:val="14"/>
  </w:num>
  <w:num w:numId="42">
    <w:abstractNumId w:val="25"/>
  </w:num>
  <w:num w:numId="43">
    <w:abstractNumId w:val="7"/>
  </w:num>
  <w:num w:numId="44">
    <w:abstractNumId w:val="42"/>
  </w:num>
  <w:num w:numId="45">
    <w:abstractNumId w:val="20"/>
  </w:num>
  <w:num w:numId="46">
    <w:abstractNumId w:val="46"/>
  </w:num>
  <w:num w:numId="47">
    <w:abstractNumId w:val="41"/>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01F37"/>
    <w:rsid w:val="00010683"/>
    <w:rsid w:val="0004095E"/>
    <w:rsid w:val="00047F95"/>
    <w:rsid w:val="000544E6"/>
    <w:rsid w:val="00055EA3"/>
    <w:rsid w:val="000570D7"/>
    <w:rsid w:val="00057A21"/>
    <w:rsid w:val="000607F7"/>
    <w:rsid w:val="000626CB"/>
    <w:rsid w:val="00076EEC"/>
    <w:rsid w:val="0009029D"/>
    <w:rsid w:val="000913E8"/>
    <w:rsid w:val="000955FE"/>
    <w:rsid w:val="00097EF1"/>
    <w:rsid w:val="000A7073"/>
    <w:rsid w:val="000C5425"/>
    <w:rsid w:val="000D135C"/>
    <w:rsid w:val="000D183D"/>
    <w:rsid w:val="000E2145"/>
    <w:rsid w:val="000F0B96"/>
    <w:rsid w:val="001140D1"/>
    <w:rsid w:val="00121005"/>
    <w:rsid w:val="0013258F"/>
    <w:rsid w:val="0014136C"/>
    <w:rsid w:val="001433D2"/>
    <w:rsid w:val="001449AE"/>
    <w:rsid w:val="00157CF6"/>
    <w:rsid w:val="001671BA"/>
    <w:rsid w:val="0017009E"/>
    <w:rsid w:val="00176C72"/>
    <w:rsid w:val="00180127"/>
    <w:rsid w:val="001A3A06"/>
    <w:rsid w:val="001A7BA0"/>
    <w:rsid w:val="001B1598"/>
    <w:rsid w:val="001B2CA6"/>
    <w:rsid w:val="001C0F8D"/>
    <w:rsid w:val="001C391F"/>
    <w:rsid w:val="001C7B67"/>
    <w:rsid w:val="001D579A"/>
    <w:rsid w:val="001E5AB3"/>
    <w:rsid w:val="002157AA"/>
    <w:rsid w:val="00216E18"/>
    <w:rsid w:val="0021784A"/>
    <w:rsid w:val="0022643A"/>
    <w:rsid w:val="0023505C"/>
    <w:rsid w:val="00245C38"/>
    <w:rsid w:val="00250B09"/>
    <w:rsid w:val="00264E26"/>
    <w:rsid w:val="00273362"/>
    <w:rsid w:val="00290ACC"/>
    <w:rsid w:val="002921F7"/>
    <w:rsid w:val="00294800"/>
    <w:rsid w:val="002A1587"/>
    <w:rsid w:val="002B0E84"/>
    <w:rsid w:val="002B75E8"/>
    <w:rsid w:val="002C2852"/>
    <w:rsid w:val="002F1121"/>
    <w:rsid w:val="002F1241"/>
    <w:rsid w:val="002F6273"/>
    <w:rsid w:val="0030208E"/>
    <w:rsid w:val="003121C6"/>
    <w:rsid w:val="003436FE"/>
    <w:rsid w:val="00356CED"/>
    <w:rsid w:val="00363E9C"/>
    <w:rsid w:val="0037753A"/>
    <w:rsid w:val="00381AB8"/>
    <w:rsid w:val="003924DF"/>
    <w:rsid w:val="003925C5"/>
    <w:rsid w:val="00396D4A"/>
    <w:rsid w:val="00397B28"/>
    <w:rsid w:val="003B78BA"/>
    <w:rsid w:val="003C5C2B"/>
    <w:rsid w:val="003C773B"/>
    <w:rsid w:val="003E309F"/>
    <w:rsid w:val="003E6551"/>
    <w:rsid w:val="003F2D75"/>
    <w:rsid w:val="003F4AB5"/>
    <w:rsid w:val="003F7035"/>
    <w:rsid w:val="00412107"/>
    <w:rsid w:val="00417586"/>
    <w:rsid w:val="00435A17"/>
    <w:rsid w:val="00453651"/>
    <w:rsid w:val="004551A2"/>
    <w:rsid w:val="004556C3"/>
    <w:rsid w:val="00463A51"/>
    <w:rsid w:val="0048664A"/>
    <w:rsid w:val="00491B4A"/>
    <w:rsid w:val="00493F98"/>
    <w:rsid w:val="00495144"/>
    <w:rsid w:val="00496641"/>
    <w:rsid w:val="00497FEF"/>
    <w:rsid w:val="004A544F"/>
    <w:rsid w:val="004A6718"/>
    <w:rsid w:val="004D0FE4"/>
    <w:rsid w:val="004D2399"/>
    <w:rsid w:val="004D7FC9"/>
    <w:rsid w:val="004E248D"/>
    <w:rsid w:val="004F088B"/>
    <w:rsid w:val="0050626C"/>
    <w:rsid w:val="005147FC"/>
    <w:rsid w:val="00517439"/>
    <w:rsid w:val="00521505"/>
    <w:rsid w:val="00526546"/>
    <w:rsid w:val="00530C99"/>
    <w:rsid w:val="00543D27"/>
    <w:rsid w:val="00545A56"/>
    <w:rsid w:val="005510F3"/>
    <w:rsid w:val="0056210A"/>
    <w:rsid w:val="0056414B"/>
    <w:rsid w:val="00574DD1"/>
    <w:rsid w:val="00577681"/>
    <w:rsid w:val="00582292"/>
    <w:rsid w:val="0059570B"/>
    <w:rsid w:val="005B2947"/>
    <w:rsid w:val="005C1E9E"/>
    <w:rsid w:val="005C44AA"/>
    <w:rsid w:val="005D1583"/>
    <w:rsid w:val="005D2BA9"/>
    <w:rsid w:val="005D3D9E"/>
    <w:rsid w:val="005D6CCF"/>
    <w:rsid w:val="005F0955"/>
    <w:rsid w:val="005F1DD5"/>
    <w:rsid w:val="0062173A"/>
    <w:rsid w:val="0062677E"/>
    <w:rsid w:val="00632671"/>
    <w:rsid w:val="006365A9"/>
    <w:rsid w:val="00666227"/>
    <w:rsid w:val="006773D0"/>
    <w:rsid w:val="0068123D"/>
    <w:rsid w:val="00681768"/>
    <w:rsid w:val="00682D24"/>
    <w:rsid w:val="0068318B"/>
    <w:rsid w:val="00687AA2"/>
    <w:rsid w:val="00694874"/>
    <w:rsid w:val="006A1537"/>
    <w:rsid w:val="006B0775"/>
    <w:rsid w:val="006C4BA3"/>
    <w:rsid w:val="006E3A44"/>
    <w:rsid w:val="006F25A2"/>
    <w:rsid w:val="006F41E4"/>
    <w:rsid w:val="006F5D6C"/>
    <w:rsid w:val="006F6361"/>
    <w:rsid w:val="007078C5"/>
    <w:rsid w:val="00740B27"/>
    <w:rsid w:val="007639DA"/>
    <w:rsid w:val="00763C86"/>
    <w:rsid w:val="00775D25"/>
    <w:rsid w:val="00790468"/>
    <w:rsid w:val="007A0123"/>
    <w:rsid w:val="007B1D4B"/>
    <w:rsid w:val="007B7D7B"/>
    <w:rsid w:val="007E285C"/>
    <w:rsid w:val="007F760C"/>
    <w:rsid w:val="00804556"/>
    <w:rsid w:val="00805702"/>
    <w:rsid w:val="008100D6"/>
    <w:rsid w:val="00835BD1"/>
    <w:rsid w:val="00843423"/>
    <w:rsid w:val="008531BA"/>
    <w:rsid w:val="00855F72"/>
    <w:rsid w:val="0086089C"/>
    <w:rsid w:val="0086581B"/>
    <w:rsid w:val="00870B5F"/>
    <w:rsid w:val="00893E98"/>
    <w:rsid w:val="0089466D"/>
    <w:rsid w:val="00895B9A"/>
    <w:rsid w:val="008A2426"/>
    <w:rsid w:val="008E5D9D"/>
    <w:rsid w:val="009021F5"/>
    <w:rsid w:val="009063CE"/>
    <w:rsid w:val="00917284"/>
    <w:rsid w:val="00921CBA"/>
    <w:rsid w:val="00937074"/>
    <w:rsid w:val="009426BD"/>
    <w:rsid w:val="009436A4"/>
    <w:rsid w:val="00957CA3"/>
    <w:rsid w:val="009724CA"/>
    <w:rsid w:val="00987220"/>
    <w:rsid w:val="00987C6C"/>
    <w:rsid w:val="00996707"/>
    <w:rsid w:val="009A733A"/>
    <w:rsid w:val="009B1C05"/>
    <w:rsid w:val="009B3FFF"/>
    <w:rsid w:val="009B605A"/>
    <w:rsid w:val="009C5A15"/>
    <w:rsid w:val="009C7BD6"/>
    <w:rsid w:val="009D164C"/>
    <w:rsid w:val="009D5E0F"/>
    <w:rsid w:val="009E7EAF"/>
    <w:rsid w:val="009F5616"/>
    <w:rsid w:val="00A00C4C"/>
    <w:rsid w:val="00A02F0C"/>
    <w:rsid w:val="00A06BCE"/>
    <w:rsid w:val="00A1168C"/>
    <w:rsid w:val="00A165D1"/>
    <w:rsid w:val="00A33091"/>
    <w:rsid w:val="00A40B36"/>
    <w:rsid w:val="00A42171"/>
    <w:rsid w:val="00A6538D"/>
    <w:rsid w:val="00A72FB1"/>
    <w:rsid w:val="00A81096"/>
    <w:rsid w:val="00A82C40"/>
    <w:rsid w:val="00A90345"/>
    <w:rsid w:val="00A94AD3"/>
    <w:rsid w:val="00A94F07"/>
    <w:rsid w:val="00A96086"/>
    <w:rsid w:val="00AA3043"/>
    <w:rsid w:val="00AB1A26"/>
    <w:rsid w:val="00AB28DE"/>
    <w:rsid w:val="00AB326E"/>
    <w:rsid w:val="00AB5C71"/>
    <w:rsid w:val="00AB7549"/>
    <w:rsid w:val="00AC5E60"/>
    <w:rsid w:val="00AD6A02"/>
    <w:rsid w:val="00AF6806"/>
    <w:rsid w:val="00B01D95"/>
    <w:rsid w:val="00B07BB4"/>
    <w:rsid w:val="00B21495"/>
    <w:rsid w:val="00B215EE"/>
    <w:rsid w:val="00B2430B"/>
    <w:rsid w:val="00B36721"/>
    <w:rsid w:val="00B45C9F"/>
    <w:rsid w:val="00B5592A"/>
    <w:rsid w:val="00B6757B"/>
    <w:rsid w:val="00B806A1"/>
    <w:rsid w:val="00B860B0"/>
    <w:rsid w:val="00B9416D"/>
    <w:rsid w:val="00BB2515"/>
    <w:rsid w:val="00BB6C9D"/>
    <w:rsid w:val="00BC1214"/>
    <w:rsid w:val="00BC1D32"/>
    <w:rsid w:val="00BC3DB7"/>
    <w:rsid w:val="00BC7014"/>
    <w:rsid w:val="00BD5B00"/>
    <w:rsid w:val="00BE6809"/>
    <w:rsid w:val="00BE7CAF"/>
    <w:rsid w:val="00BF01CC"/>
    <w:rsid w:val="00BF0BD3"/>
    <w:rsid w:val="00C017D2"/>
    <w:rsid w:val="00C06F58"/>
    <w:rsid w:val="00C2286C"/>
    <w:rsid w:val="00C2541E"/>
    <w:rsid w:val="00C3216F"/>
    <w:rsid w:val="00C330E1"/>
    <w:rsid w:val="00C33368"/>
    <w:rsid w:val="00C372F3"/>
    <w:rsid w:val="00C40CD0"/>
    <w:rsid w:val="00C52EDE"/>
    <w:rsid w:val="00C53A7B"/>
    <w:rsid w:val="00C55903"/>
    <w:rsid w:val="00C71070"/>
    <w:rsid w:val="00C91765"/>
    <w:rsid w:val="00C96392"/>
    <w:rsid w:val="00C97C1D"/>
    <w:rsid w:val="00CC396F"/>
    <w:rsid w:val="00CE5895"/>
    <w:rsid w:val="00CF2B5B"/>
    <w:rsid w:val="00CF62ED"/>
    <w:rsid w:val="00D26233"/>
    <w:rsid w:val="00D32C37"/>
    <w:rsid w:val="00D4050F"/>
    <w:rsid w:val="00D44374"/>
    <w:rsid w:val="00D475F9"/>
    <w:rsid w:val="00D550F2"/>
    <w:rsid w:val="00D60D73"/>
    <w:rsid w:val="00D63250"/>
    <w:rsid w:val="00D66CD2"/>
    <w:rsid w:val="00D86F6D"/>
    <w:rsid w:val="00D97EDB"/>
    <w:rsid w:val="00DA7EF8"/>
    <w:rsid w:val="00DB1A96"/>
    <w:rsid w:val="00DB3975"/>
    <w:rsid w:val="00DB4711"/>
    <w:rsid w:val="00DE1210"/>
    <w:rsid w:val="00DE5160"/>
    <w:rsid w:val="00DE77F4"/>
    <w:rsid w:val="00E03510"/>
    <w:rsid w:val="00E13546"/>
    <w:rsid w:val="00E1767B"/>
    <w:rsid w:val="00E222AD"/>
    <w:rsid w:val="00E2244D"/>
    <w:rsid w:val="00E22E88"/>
    <w:rsid w:val="00E33957"/>
    <w:rsid w:val="00E4327F"/>
    <w:rsid w:val="00E46553"/>
    <w:rsid w:val="00E5596E"/>
    <w:rsid w:val="00E8191A"/>
    <w:rsid w:val="00E84A51"/>
    <w:rsid w:val="00EA3293"/>
    <w:rsid w:val="00EA439A"/>
    <w:rsid w:val="00EA6B94"/>
    <w:rsid w:val="00EA7FAC"/>
    <w:rsid w:val="00EB1484"/>
    <w:rsid w:val="00EC2853"/>
    <w:rsid w:val="00EC59C8"/>
    <w:rsid w:val="00ED0499"/>
    <w:rsid w:val="00EE5A83"/>
    <w:rsid w:val="00EF67ED"/>
    <w:rsid w:val="00F00530"/>
    <w:rsid w:val="00F11E9B"/>
    <w:rsid w:val="00F16667"/>
    <w:rsid w:val="00F21243"/>
    <w:rsid w:val="00F25A3C"/>
    <w:rsid w:val="00F34A82"/>
    <w:rsid w:val="00F53979"/>
    <w:rsid w:val="00F54298"/>
    <w:rsid w:val="00F7552A"/>
    <w:rsid w:val="00F80338"/>
    <w:rsid w:val="00F848DA"/>
    <w:rsid w:val="00F96F56"/>
    <w:rsid w:val="00FC5599"/>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7CFAD9"/>
  <w15:docId w15:val="{145FE843-1364-4862-8406-A3E46D9FC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rPr>
      <w:lang w:val="en-GB" w:eastAsia="en-GB"/>
    </w:rPr>
  </w:style>
  <w:style w:type="paragraph" w:styleId="Heading1">
    <w:name w:val="heading 1"/>
    <w:basedOn w:val="Normal"/>
    <w:next w:val="Normal"/>
    <w:qFormat/>
    <w:rsid w:val="00C71070"/>
    <w:pPr>
      <w:keepNext/>
      <w:spacing w:before="240"/>
      <w:jc w:val="center"/>
      <w:outlineLvl w:val="0"/>
    </w:pPr>
    <w:rPr>
      <w:b/>
      <w:sz w:val="24"/>
      <w:lang w:val="fr-BE"/>
    </w:rPr>
  </w:style>
  <w:style w:type="paragraph" w:styleId="Heading2">
    <w:name w:val="heading 2"/>
    <w:basedOn w:val="Normal"/>
    <w:next w:val="Normal"/>
    <w:qFormat/>
    <w:rsid w:val="00C71070"/>
    <w:pPr>
      <w:keepNext/>
      <w:tabs>
        <w:tab w:val="left" w:pos="426"/>
      </w:tabs>
      <w:outlineLvl w:val="1"/>
    </w:pPr>
    <w:rPr>
      <w:sz w:val="24"/>
      <w:lang w:val="fr-BE"/>
    </w:rPr>
  </w:style>
  <w:style w:type="paragraph" w:styleId="Heading3">
    <w:name w:val="heading 3"/>
    <w:basedOn w:val="Normal"/>
    <w:next w:val="Normal"/>
    <w:qFormat/>
    <w:rsid w:val="00C71070"/>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71070"/>
    <w:pPr>
      <w:jc w:val="center"/>
    </w:pPr>
    <w:rPr>
      <w:b/>
      <w:sz w:val="28"/>
      <w:lang w:val="fr-BE"/>
    </w:rPr>
  </w:style>
  <w:style w:type="paragraph" w:styleId="Subtitle">
    <w:name w:val="Subtitle"/>
    <w:basedOn w:val="Normal"/>
    <w:qFormat/>
    <w:rsid w:val="00C71070"/>
    <w:pPr>
      <w:jc w:val="center"/>
    </w:pPr>
    <w:rPr>
      <w:b/>
      <w:sz w:val="28"/>
      <w:lang w:val="fr-BE"/>
    </w:rPr>
  </w:style>
  <w:style w:type="paragraph" w:styleId="BodyTextIndent">
    <w:name w:val="Body Text Indent"/>
    <w:basedOn w:val="Normal"/>
    <w:rsid w:val="00C71070"/>
    <w:pPr>
      <w:tabs>
        <w:tab w:val="left" w:pos="567"/>
      </w:tabs>
      <w:spacing w:after="120"/>
      <w:ind w:left="567" w:hanging="567"/>
      <w:jc w:val="both"/>
    </w:pPr>
    <w:rPr>
      <w:sz w:val="24"/>
    </w:rPr>
  </w:style>
  <w:style w:type="paragraph" w:styleId="BodyText">
    <w:name w:val="Body Text"/>
    <w:basedOn w:val="Normal"/>
    <w:link w:val="BodyTextChar"/>
    <w:rsid w:val="00C71070"/>
    <w:rPr>
      <w:sz w:val="24"/>
    </w:rPr>
  </w:style>
  <w:style w:type="paragraph" w:styleId="BodyTextIndent2">
    <w:name w:val="Body Text Indent 2"/>
    <w:basedOn w:val="Normal"/>
    <w:rsid w:val="00C71070"/>
    <w:pPr>
      <w:tabs>
        <w:tab w:val="num" w:pos="567"/>
        <w:tab w:val="num" w:pos="2160"/>
      </w:tabs>
      <w:spacing w:after="240"/>
      <w:ind w:left="567" w:hanging="567"/>
      <w:jc w:val="both"/>
    </w:pPr>
    <w:rPr>
      <w:sz w:val="24"/>
      <w:u w:val="single"/>
    </w:rPr>
  </w:style>
  <w:style w:type="paragraph" w:styleId="BodyTextIndent3">
    <w:name w:val="Body Text Indent 3"/>
    <w:basedOn w:val="Normal"/>
    <w:rsid w:val="00C71070"/>
    <w:pPr>
      <w:tabs>
        <w:tab w:val="left" w:pos="1276"/>
      </w:tabs>
      <w:spacing w:after="120"/>
      <w:ind w:left="1276" w:hanging="425"/>
      <w:jc w:val="both"/>
    </w:pPr>
    <w:rPr>
      <w:sz w:val="24"/>
    </w:rPr>
  </w:style>
  <w:style w:type="paragraph" w:styleId="BodyText2">
    <w:name w:val="Body Text 2"/>
    <w:basedOn w:val="Normal"/>
    <w:link w:val="BodyText2Char"/>
    <w:rsid w:val="00C71070"/>
    <w:pPr>
      <w:tabs>
        <w:tab w:val="num" w:pos="567"/>
      </w:tabs>
      <w:jc w:val="both"/>
    </w:pPr>
    <w:rPr>
      <w:sz w:val="24"/>
    </w:rPr>
  </w:style>
  <w:style w:type="paragraph" w:customStyle="1" w:styleId="Text3">
    <w:name w:val="Text 3"/>
    <w:basedOn w:val="Normal"/>
    <w:rsid w:val="00C71070"/>
    <w:pPr>
      <w:tabs>
        <w:tab w:val="left" w:pos="2302"/>
      </w:tabs>
      <w:spacing w:after="240"/>
      <w:ind w:left="1202"/>
      <w:jc w:val="both"/>
    </w:pPr>
    <w:rPr>
      <w:sz w:val="24"/>
    </w:rPr>
  </w:style>
  <w:style w:type="paragraph" w:styleId="Header">
    <w:name w:val="header"/>
    <w:basedOn w:val="Normal"/>
    <w:rsid w:val="00C71070"/>
    <w:pPr>
      <w:tabs>
        <w:tab w:val="center" w:pos="4320"/>
        <w:tab w:val="right" w:pos="8640"/>
      </w:tabs>
    </w:pPr>
  </w:style>
  <w:style w:type="paragraph" w:styleId="Footer">
    <w:name w:val="footer"/>
    <w:basedOn w:val="Normal"/>
    <w:link w:val="FooterChar"/>
    <w:rsid w:val="00C71070"/>
    <w:pPr>
      <w:tabs>
        <w:tab w:val="center" w:pos="4320"/>
        <w:tab w:val="right" w:pos="8640"/>
      </w:tabs>
    </w:pPr>
  </w:style>
  <w:style w:type="character" w:styleId="PageNumber">
    <w:name w:val="page number"/>
    <w:basedOn w:val="DefaultParagraphFont"/>
    <w:rsid w:val="00C71070"/>
  </w:style>
  <w:style w:type="paragraph" w:styleId="BodyText3">
    <w:name w:val="Body Text 3"/>
    <w:basedOn w:val="Normal"/>
    <w:rsid w:val="00C71070"/>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C71070"/>
    <w:rPr>
      <w:color w:val="0000FF"/>
      <w:u w:val="single"/>
    </w:rPr>
  </w:style>
  <w:style w:type="paragraph" w:customStyle="1" w:styleId="Blockquote">
    <w:name w:val="Blockquote"/>
    <w:basedOn w:val="Normal"/>
    <w:rsid w:val="00C71070"/>
    <w:pPr>
      <w:widowControl w:val="0"/>
      <w:spacing w:before="100" w:after="100"/>
      <w:ind w:left="360" w:right="360"/>
    </w:pPr>
    <w:rPr>
      <w:snapToGrid w:val="0"/>
      <w:sz w:val="24"/>
      <w:lang w:val="en-US" w:eastAsia="en-US"/>
    </w:rPr>
  </w:style>
  <w:style w:type="character" w:styleId="Emphasis">
    <w:name w:val="Emphasis"/>
    <w:qFormat/>
    <w:rsid w:val="00C71070"/>
    <w:rPr>
      <w:i/>
    </w:rPr>
  </w:style>
  <w:style w:type="character" w:styleId="Strong">
    <w:name w:val="Strong"/>
    <w:qFormat/>
    <w:rsid w:val="00C71070"/>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 w:type="character" w:customStyle="1" w:styleId="FooterChar">
    <w:name w:val="Footer Char"/>
    <w:link w:val="Footer"/>
    <w:rsid w:val="00AB1A26"/>
  </w:style>
  <w:style w:type="paragraph" w:customStyle="1" w:styleId="PRAGHeading2">
    <w:name w:val="PRAG Heading 2"/>
    <w:basedOn w:val="Normal"/>
    <w:rsid w:val="00363E9C"/>
    <w:pPr>
      <w:widowControl w:val="0"/>
      <w:numPr>
        <w:numId w:val="48"/>
      </w:numPr>
      <w:spacing w:before="100" w:after="100"/>
    </w:pPr>
    <w:rPr>
      <w:snapToGrid w:val="0"/>
      <w:sz w:val="24"/>
      <w:lang w:val="en-US" w:eastAsia="en-US"/>
    </w:rPr>
  </w:style>
  <w:style w:type="character" w:styleId="UnresolvedMention">
    <w:name w:val="Unresolved Mention"/>
    <w:uiPriority w:val="99"/>
    <w:semiHidden/>
    <w:unhideWhenUsed/>
    <w:rsid w:val="00DB1A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202593916">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europeaid/prag/document.do"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61CAB-0136-5A49-9C0E-24C88F443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9</Pages>
  <Words>3609</Words>
  <Characters>20575</Characters>
  <Application>Microsoft Office Word</Application>
  <DocSecurity>0</DocSecurity>
  <Lines>171</Lines>
  <Paragraphs>48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24136</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nikola.markovic@juznevesti.com</cp:lastModifiedBy>
  <cp:revision>41</cp:revision>
  <cp:lastPrinted>2012-09-25T14:41:00Z</cp:lastPrinted>
  <dcterms:created xsi:type="dcterms:W3CDTF">2018-12-18T11:34:00Z</dcterms:created>
  <dcterms:modified xsi:type="dcterms:W3CDTF">2019-10-08T13:20:00Z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