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3157DA62" w:rsidR="006F5FD0" w:rsidRPr="00B33EE6" w:rsidRDefault="00636149">
      <w:pPr>
        <w:jc w:val="center"/>
        <w:rPr>
          <w:sz w:val="28"/>
          <w:szCs w:val="28"/>
          <w:lang w:val="en-GB"/>
        </w:rPr>
      </w:pPr>
      <w:r>
        <w:rPr>
          <w:b/>
          <w:szCs w:val="22"/>
        </w:rPr>
        <w:t>ORGANIZATION OF EVENTS UNDER THE PROJECT “THE TASTE OF TRADITION”</w:t>
      </w:r>
      <w:r w:rsidR="006F5FD0" w:rsidRPr="00B33EE6">
        <w:rPr>
          <w:rStyle w:val="Strong"/>
          <w:sz w:val="28"/>
          <w:szCs w:val="28"/>
          <w:lang w:val="en-GB"/>
        </w:rPr>
        <w:br/>
      </w:r>
      <w:r>
        <w:rPr>
          <w:rStyle w:val="Strong"/>
          <w:sz w:val="28"/>
          <w:szCs w:val="28"/>
          <w:lang w:val="en-GB"/>
        </w:rPr>
        <w:t>Zajecar, Serbia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0F30A0AB" w:rsidR="006F5FD0" w:rsidRPr="00636149" w:rsidRDefault="00636149" w:rsidP="00636149">
      <w:pPr>
        <w:pStyle w:val="Blockquote"/>
        <w:ind w:firstLine="349"/>
        <w:rPr>
          <w:i/>
          <w:sz w:val="22"/>
          <w:szCs w:val="22"/>
          <w:lang w:val="en-GB"/>
        </w:rPr>
      </w:pPr>
      <w:r w:rsidRPr="00636149">
        <w:rPr>
          <w:szCs w:val="22"/>
        </w:rPr>
        <w:t>CB007.2.12.158-PP3-TD01</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65924D60" w:rsidR="006F5FD0" w:rsidRPr="00B33EE6" w:rsidRDefault="00636149" w:rsidP="00C867B9">
      <w:pPr>
        <w:pStyle w:val="Blockquote"/>
        <w:ind w:left="0"/>
        <w:jc w:val="both"/>
        <w:rPr>
          <w:sz w:val="22"/>
          <w:szCs w:val="22"/>
          <w:lang w:val="en-GB"/>
        </w:rPr>
      </w:pPr>
      <w:r w:rsidRPr="00636149">
        <w:rPr>
          <w:sz w:val="22"/>
          <w:szCs w:val="22"/>
          <w:lang w:val="en-GB"/>
        </w:rPr>
        <w:t xml:space="preserve">   </w:t>
      </w:r>
      <w:r w:rsidRPr="00636149">
        <w:rPr>
          <w:sz w:val="22"/>
          <w:szCs w:val="22"/>
          <w:lang w:val="en-GB"/>
        </w:rPr>
        <w:tab/>
      </w:r>
      <w:r w:rsidR="00AD1E4D" w:rsidRPr="00636149">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66D67AAF" w:rsidR="00971962" w:rsidRPr="00B33EE6" w:rsidRDefault="00636149" w:rsidP="00636149">
      <w:pPr>
        <w:pStyle w:val="PRAGHeading2"/>
        <w:numPr>
          <w:ilvl w:val="0"/>
          <w:numId w:val="0"/>
        </w:numPr>
        <w:ind w:left="357" w:right="357" w:firstLine="352"/>
        <w:rPr>
          <w:lang w:val="en-GB"/>
        </w:rPr>
      </w:pPr>
      <w:r w:rsidRPr="00636149">
        <w:rPr>
          <w:rStyle w:val="Emphasis"/>
          <w:i w:val="0"/>
          <w:sz w:val="22"/>
          <w:szCs w:val="22"/>
          <w:lang w:val="en-GB"/>
        </w:rPr>
        <w:t>Interreg-IPA CBC Bulgaria - Serbia Programme, CCI No. 2014TC16I5CB007</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13441C01" w14:textId="097D48B5" w:rsidR="00636149" w:rsidRPr="00B33EE6" w:rsidRDefault="00636149" w:rsidP="00636149">
      <w:pPr>
        <w:pStyle w:val="Blockquote"/>
        <w:ind w:left="709"/>
        <w:jc w:val="both"/>
        <w:rPr>
          <w:sz w:val="22"/>
          <w:szCs w:val="22"/>
          <w:lang w:val="en-GB"/>
        </w:rPr>
      </w:pPr>
      <w:r w:rsidRPr="00636149">
        <w:rPr>
          <w:rStyle w:val="Emphasis"/>
          <w:i w:val="0"/>
          <w:sz w:val="22"/>
          <w:szCs w:val="22"/>
          <w:lang w:val="en-GB"/>
        </w:rPr>
        <w:t>Subsidy contract under te Instrument for Pre-accession Assistance II No. RD-0-29-</w:t>
      </w:r>
      <w:r>
        <w:rPr>
          <w:rStyle w:val="Emphasis"/>
          <w:i w:val="0"/>
          <w:sz w:val="22"/>
          <w:szCs w:val="22"/>
          <w:lang w:val="en-GB"/>
        </w:rPr>
        <w:t>221</w:t>
      </w:r>
      <w:r w:rsidRPr="00636149">
        <w:rPr>
          <w:rStyle w:val="Emphasis"/>
          <w:i w:val="0"/>
          <w:sz w:val="22"/>
          <w:szCs w:val="22"/>
          <w:lang w:val="en-GB"/>
        </w:rPr>
        <w:t>/1</w:t>
      </w:r>
      <w:r>
        <w:rPr>
          <w:rStyle w:val="Emphasis"/>
          <w:i w:val="0"/>
          <w:sz w:val="22"/>
          <w:szCs w:val="22"/>
          <w:lang w:val="en-GB"/>
        </w:rPr>
        <w:t>2.09.2022</w:t>
      </w:r>
      <w:r w:rsidRPr="00636149">
        <w:rPr>
          <w:rStyle w:val="Emphasis"/>
          <w:i w:val="0"/>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7E24DB9" w14:textId="77777777" w:rsidR="000D3B81" w:rsidRPr="00764384" w:rsidRDefault="000D3B81" w:rsidP="00636149">
      <w:pPr>
        <w:ind w:left="709" w:right="357"/>
        <w:jc w:val="both"/>
        <w:rPr>
          <w:snapToGrid/>
          <w:sz w:val="22"/>
          <w:szCs w:val="22"/>
          <w:lang w:val="en-GB" w:eastAsia="en-GB"/>
        </w:rPr>
      </w:pPr>
      <w:r w:rsidRPr="00EB6B7C">
        <w:rPr>
          <w:snapToGrid/>
          <w:sz w:val="22"/>
          <w:szCs w:val="22"/>
          <w:lang w:val="en-GB" w:eastAsia="en-GB"/>
        </w:rPr>
        <w:t>Center for intangible cultural heritage "Roots"</w:t>
      </w:r>
    </w:p>
    <w:p w14:paraId="58EE3A86" w14:textId="779EF322" w:rsidR="00636149" w:rsidRDefault="00636149" w:rsidP="00636149">
      <w:pPr>
        <w:ind w:left="709" w:right="357"/>
        <w:jc w:val="both"/>
        <w:rPr>
          <w:rStyle w:val="Emphasis"/>
          <w:i w:val="0"/>
          <w:sz w:val="22"/>
          <w:szCs w:val="22"/>
          <w:lang w:val="en-GB"/>
        </w:rPr>
      </w:pPr>
      <w:r w:rsidRPr="00636149">
        <w:rPr>
          <w:rStyle w:val="Emphasis"/>
          <w:i w:val="0"/>
          <w:sz w:val="22"/>
          <w:szCs w:val="22"/>
          <w:lang w:val="en-GB"/>
        </w:rPr>
        <w:t>Zajecar, Serbia</w:t>
      </w:r>
    </w:p>
    <w:p w14:paraId="67F4A905" w14:textId="77777777" w:rsidR="006F5FD0" w:rsidRPr="00B33EE6" w:rsidRDefault="001F7F04">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CFA5656" w:rsidR="006F5FD0" w:rsidRPr="00B33EE6" w:rsidRDefault="006F5FD0" w:rsidP="00636149">
      <w:pPr>
        <w:pStyle w:val="Blockquote"/>
        <w:ind w:firstLine="349"/>
        <w:jc w:val="both"/>
        <w:rPr>
          <w:i/>
          <w:sz w:val="22"/>
          <w:szCs w:val="22"/>
          <w:lang w:val="en-GB"/>
        </w:rPr>
      </w:pPr>
      <w:r w:rsidRPr="00636149">
        <w:rPr>
          <w:rStyle w:val="Emphasis"/>
          <w:i w:val="0"/>
          <w:sz w:val="22"/>
          <w:szCs w:val="22"/>
          <w:lang w:val="en-GB"/>
        </w:rPr>
        <w:t>Global price</w:t>
      </w:r>
    </w:p>
    <w:p w14:paraId="1263A113" w14:textId="492A0E30" w:rsidR="005973AA" w:rsidRPr="005973AA" w:rsidRDefault="006F5FD0" w:rsidP="005973AA">
      <w:pPr>
        <w:ind w:left="709" w:hanging="352"/>
        <w:outlineLvl w:val="0"/>
        <w:rPr>
          <w:rStyle w:val="Emphasis"/>
          <w:b/>
          <w:i w:val="0"/>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218F8E16" w14:textId="77777777" w:rsidR="005973AA" w:rsidRPr="00CB3808" w:rsidRDefault="005973AA" w:rsidP="00E73993">
      <w:pPr>
        <w:widowControl/>
        <w:spacing w:before="0" w:after="0"/>
        <w:ind w:left="357" w:firstLine="283"/>
        <w:jc w:val="both"/>
        <w:rPr>
          <w:rStyle w:val="Emphasis"/>
          <w:i w:val="0"/>
          <w:snapToGrid/>
          <w:sz w:val="22"/>
          <w:szCs w:val="22"/>
        </w:rPr>
      </w:pPr>
      <w:r>
        <w:rPr>
          <w:sz w:val="22"/>
          <w:szCs w:val="22"/>
          <w:lang w:eastAsia="en-GB"/>
        </w:rPr>
        <w:t>The purpose and tasks of this contract are as follows:</w:t>
      </w:r>
    </w:p>
    <w:p w14:paraId="1B4A9941" w14:textId="6B4CFB04" w:rsidR="005973AA" w:rsidRPr="008A4C0F" w:rsidRDefault="005973AA" w:rsidP="00E73993">
      <w:pPr>
        <w:numPr>
          <w:ilvl w:val="0"/>
          <w:numId w:val="45"/>
        </w:numPr>
        <w:snapToGrid w:val="0"/>
        <w:ind w:left="1437"/>
        <w:jc w:val="both"/>
        <w:outlineLvl w:val="0"/>
        <w:rPr>
          <w:snapToGrid/>
          <w:sz w:val="22"/>
          <w:szCs w:val="22"/>
        </w:rPr>
      </w:pPr>
      <w:r w:rsidRPr="008A4C0F">
        <w:rPr>
          <w:sz w:val="22"/>
          <w:szCs w:val="22"/>
        </w:rPr>
        <w:t xml:space="preserve">To ensure necessary logistics for the </w:t>
      </w:r>
      <w:r>
        <w:rPr>
          <w:sz w:val="22"/>
          <w:szCs w:val="22"/>
        </w:rPr>
        <w:t xml:space="preserve">joint </w:t>
      </w:r>
      <w:r w:rsidRPr="008A4C0F">
        <w:rPr>
          <w:sz w:val="22"/>
          <w:szCs w:val="22"/>
        </w:rPr>
        <w:t xml:space="preserve">project events across Serbian cross-border area – rent of hall, transportation, accommodation, </w:t>
      </w:r>
      <w:r>
        <w:rPr>
          <w:sz w:val="22"/>
          <w:szCs w:val="22"/>
        </w:rPr>
        <w:t>catering</w:t>
      </w:r>
      <w:r w:rsidRPr="008A4C0F">
        <w:rPr>
          <w:sz w:val="22"/>
          <w:szCs w:val="22"/>
        </w:rPr>
        <w:t xml:space="preserve"> for participants, such as: </w:t>
      </w:r>
      <w:r>
        <w:rPr>
          <w:sz w:val="22"/>
          <w:szCs w:val="22"/>
        </w:rPr>
        <w:t xml:space="preserve">press conference, cooking </w:t>
      </w:r>
      <w:r w:rsidRPr="008A4C0F">
        <w:rPr>
          <w:sz w:val="22"/>
          <w:szCs w:val="22"/>
        </w:rPr>
        <w:t>training</w:t>
      </w:r>
      <w:r>
        <w:rPr>
          <w:sz w:val="22"/>
          <w:szCs w:val="22"/>
        </w:rPr>
        <w:t xml:space="preserve"> and culinary competition;</w:t>
      </w:r>
    </w:p>
    <w:p w14:paraId="17E617BD" w14:textId="729FDE05" w:rsidR="005973AA" w:rsidRPr="008A4C0F" w:rsidRDefault="005973AA" w:rsidP="00E73993">
      <w:pPr>
        <w:numPr>
          <w:ilvl w:val="0"/>
          <w:numId w:val="45"/>
        </w:numPr>
        <w:snapToGrid w:val="0"/>
        <w:ind w:left="1437"/>
        <w:jc w:val="both"/>
        <w:outlineLvl w:val="0"/>
        <w:rPr>
          <w:sz w:val="22"/>
          <w:szCs w:val="22"/>
        </w:rPr>
      </w:pPr>
      <w:r>
        <w:rPr>
          <w:sz w:val="22"/>
          <w:szCs w:val="22"/>
        </w:rPr>
        <w:t xml:space="preserve">To ensure </w:t>
      </w:r>
      <w:r w:rsidRPr="005973AA">
        <w:rPr>
          <w:sz w:val="22"/>
          <w:szCs w:val="22"/>
        </w:rPr>
        <w:t xml:space="preserve">necessary logistics </w:t>
      </w:r>
      <w:r>
        <w:rPr>
          <w:sz w:val="22"/>
          <w:szCs w:val="22"/>
        </w:rPr>
        <w:t xml:space="preserve">for participants from Serbia on joint project activities on Bulgarian </w:t>
      </w:r>
      <w:r w:rsidRPr="008A4C0F">
        <w:rPr>
          <w:sz w:val="22"/>
          <w:szCs w:val="22"/>
        </w:rPr>
        <w:t>cross-border</w:t>
      </w:r>
      <w:r>
        <w:rPr>
          <w:sz w:val="22"/>
          <w:szCs w:val="22"/>
        </w:rPr>
        <w:t xml:space="preserve"> territory, such as</w:t>
      </w:r>
      <w:r w:rsidRPr="005973AA">
        <w:t xml:space="preserve"> </w:t>
      </w:r>
      <w:r w:rsidRPr="005973AA">
        <w:rPr>
          <w:sz w:val="22"/>
          <w:szCs w:val="22"/>
        </w:rPr>
        <w:t>cooking training</w:t>
      </w:r>
      <w:r>
        <w:rPr>
          <w:sz w:val="22"/>
          <w:szCs w:val="22"/>
        </w:rPr>
        <w:t xml:space="preserve"> and fish festival.</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5EDB8C5" w:rsidR="00E9047D" w:rsidRPr="00B33EE6" w:rsidRDefault="00364564" w:rsidP="00E73993">
      <w:pPr>
        <w:ind w:left="709"/>
        <w:outlineLvl w:val="0"/>
        <w:rPr>
          <w:rStyle w:val="Emphasis"/>
          <w:i w:val="0"/>
          <w:sz w:val="22"/>
          <w:szCs w:val="22"/>
          <w:lang w:val="en-GB"/>
        </w:rPr>
      </w:pPr>
      <w:r w:rsidRPr="00636149">
        <w:rPr>
          <w:rStyle w:val="Emphasis"/>
          <w:i w:val="0"/>
          <w:sz w:val="22"/>
          <w:szCs w:val="22"/>
          <w:lang w:val="en-GB"/>
        </w:rPr>
        <w:t>O</w:t>
      </w:r>
      <w:r w:rsidR="00DA0ABA" w:rsidRPr="00636149">
        <w:rPr>
          <w:rStyle w:val="Emphasis"/>
          <w:i w:val="0"/>
          <w:sz w:val="22"/>
          <w:szCs w:val="22"/>
          <w:lang w:val="en-GB"/>
        </w:rPr>
        <w:t>ne lot only</w:t>
      </w:r>
      <w:r w:rsidR="00636149" w:rsidRPr="00636149">
        <w:rPr>
          <w:rStyle w:val="Emphasis"/>
          <w:i w:val="0"/>
          <w:sz w:val="22"/>
          <w:szCs w:val="22"/>
          <w:lang w:val="en-GB"/>
        </w:rPr>
        <w:t>.</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2C013CF2" w14:textId="09A352CB" w:rsidR="00636149" w:rsidRDefault="00636149" w:rsidP="00636149">
      <w:pPr>
        <w:ind w:left="709"/>
        <w:outlineLvl w:val="0"/>
        <w:rPr>
          <w:rStyle w:val="Strong"/>
          <w:b w:val="0"/>
          <w:sz w:val="22"/>
          <w:szCs w:val="22"/>
          <w:lang w:val="en-GB"/>
        </w:rPr>
      </w:pPr>
      <w:r w:rsidRPr="00EB6B7C">
        <w:rPr>
          <w:rStyle w:val="Strong"/>
          <w:b w:val="0"/>
          <w:sz w:val="22"/>
          <w:szCs w:val="22"/>
          <w:lang w:val="en-GB"/>
        </w:rPr>
        <w:lastRenderedPageBreak/>
        <w:t>The maximum budget available for this contract, as stated in the contract notice, is 25.720,00 EUR equivalent to 3.01</w:t>
      </w:r>
      <w:r w:rsidR="00EB6B7C" w:rsidRPr="00EB6B7C">
        <w:rPr>
          <w:rStyle w:val="Strong"/>
          <w:b w:val="0"/>
          <w:sz w:val="22"/>
          <w:szCs w:val="22"/>
          <w:lang w:val="en-GB"/>
        </w:rPr>
        <w:t>6</w:t>
      </w:r>
      <w:r w:rsidRPr="00EB6B7C">
        <w:rPr>
          <w:rStyle w:val="Strong"/>
          <w:b w:val="0"/>
          <w:sz w:val="22"/>
          <w:szCs w:val="22"/>
          <w:lang w:val="en-GB"/>
        </w:rPr>
        <w:t>.</w:t>
      </w:r>
      <w:r w:rsidR="000D3B81" w:rsidRPr="00EB6B7C">
        <w:rPr>
          <w:rStyle w:val="Strong"/>
          <w:b w:val="0"/>
          <w:sz w:val="22"/>
          <w:szCs w:val="22"/>
          <w:lang w:val="en-GB"/>
        </w:rPr>
        <w:t>1</w:t>
      </w:r>
      <w:r w:rsidR="00EB6B7C" w:rsidRPr="00EB6B7C">
        <w:rPr>
          <w:rStyle w:val="Strong"/>
          <w:b w:val="0"/>
          <w:sz w:val="22"/>
          <w:szCs w:val="22"/>
          <w:lang w:val="en-GB"/>
        </w:rPr>
        <w:t>84</w:t>
      </w:r>
      <w:r w:rsidRPr="00EB6B7C">
        <w:rPr>
          <w:rStyle w:val="Strong"/>
          <w:b w:val="0"/>
          <w:sz w:val="22"/>
          <w:szCs w:val="22"/>
          <w:lang w:val="en-GB"/>
        </w:rPr>
        <w:t>,</w:t>
      </w:r>
      <w:r w:rsidR="00EB6B7C" w:rsidRPr="00EB6B7C">
        <w:rPr>
          <w:rStyle w:val="Strong"/>
          <w:b w:val="0"/>
          <w:sz w:val="22"/>
          <w:szCs w:val="22"/>
          <w:lang w:val="en-GB"/>
        </w:rPr>
        <w:t>4</w:t>
      </w:r>
      <w:r w:rsidRPr="00EB6B7C">
        <w:rPr>
          <w:rStyle w:val="Strong"/>
          <w:b w:val="0"/>
          <w:sz w:val="22"/>
          <w:szCs w:val="22"/>
          <w:lang w:val="en-GB"/>
        </w:rPr>
        <w:t xml:space="preserve">0 RSD (inforeuro rate in the month of launching the tender – </w:t>
      </w:r>
      <w:r w:rsidR="00EB6B7C" w:rsidRPr="00EB6B7C">
        <w:rPr>
          <w:rStyle w:val="Strong"/>
          <w:b w:val="0"/>
          <w:sz w:val="22"/>
          <w:szCs w:val="22"/>
          <w:lang w:val="en-GB"/>
        </w:rPr>
        <w:t>July</w:t>
      </w:r>
      <w:r w:rsidRPr="00EB6B7C">
        <w:rPr>
          <w:rStyle w:val="Strong"/>
          <w:b w:val="0"/>
          <w:sz w:val="22"/>
          <w:szCs w:val="22"/>
          <w:lang w:val="en-GB"/>
        </w:rPr>
        <w:t xml:space="preserve"> 2023).</w:t>
      </w:r>
    </w:p>
    <w:p w14:paraId="7927321D" w14:textId="77777777" w:rsidR="00636149" w:rsidRPr="00B33EE6" w:rsidRDefault="00636149" w:rsidP="00584BF4">
      <w:pPr>
        <w:ind w:left="709" w:hanging="349"/>
        <w:outlineLvl w:val="0"/>
        <w:rPr>
          <w:rStyle w:val="Strong"/>
          <w:b w:val="0"/>
          <w:sz w:val="22"/>
          <w:szCs w:val="22"/>
          <w:lang w:val="en-GB"/>
        </w:rPr>
      </w:pPr>
    </w:p>
    <w:p w14:paraId="6C843D95" w14:textId="77777777" w:rsidR="006F5FD0" w:rsidRPr="00B33EE6" w:rsidRDefault="001F7F04">
      <w:pPr>
        <w:pStyle w:val="Blockquote"/>
        <w:jc w:val="both"/>
        <w:rPr>
          <w:sz w:val="22"/>
          <w:szCs w:val="22"/>
          <w:lang w:val="en-GB"/>
        </w:rPr>
      </w:pPr>
      <w:r>
        <w:rPr>
          <w:snapToGrid/>
          <w:sz w:val="22"/>
          <w:szCs w:val="22"/>
          <w:lang w:val="en-GB"/>
        </w:rPr>
        <w:pict w14:anchorId="21854D6C">
          <v:line id="_x0000_s1028"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2CDB645B" w14:textId="04C9DC0F" w:rsidR="00B9793F" w:rsidRPr="000F02F0" w:rsidRDefault="000F02F0" w:rsidP="000F02F0">
      <w:pPr>
        <w:pStyle w:val="paragraph"/>
        <w:spacing w:before="0" w:beforeAutospacing="0" w:after="0" w:afterAutospacing="0"/>
        <w:ind w:left="360" w:right="15"/>
        <w:jc w:val="both"/>
        <w:textAlignment w:val="baseline"/>
        <w:rPr>
          <w:rStyle w:val="normaltextrun"/>
          <w:sz w:val="22"/>
          <w:szCs w:val="22"/>
          <w:lang w:val="en-GB"/>
        </w:rPr>
      </w:pPr>
      <w:r>
        <w:rPr>
          <w:rStyle w:val="normaltextrun"/>
          <w:sz w:val="22"/>
          <w:szCs w:val="22"/>
          <w:lang w:val="en-IE"/>
        </w:rPr>
        <w:br/>
      </w:r>
      <w:r w:rsidRPr="000F02F0">
        <w:rPr>
          <w:rStyle w:val="normaltextrun"/>
          <w:sz w:val="22"/>
          <w:szCs w:val="22"/>
          <w:lang w:val="en-GB"/>
        </w:rPr>
        <w:t>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p>
    <w:p w14:paraId="73B8B6DC" w14:textId="77777777" w:rsidR="000F02F0" w:rsidRPr="006E1BD0" w:rsidRDefault="000F02F0" w:rsidP="00B9793F">
      <w:pPr>
        <w:pStyle w:val="paragraph"/>
        <w:spacing w:before="0" w:beforeAutospacing="0" w:after="0" w:afterAutospacing="0"/>
        <w:ind w:right="15"/>
        <w:jc w:val="both"/>
        <w:textAlignment w:val="baseline"/>
        <w:rPr>
          <w:rStyle w:val="normaltextrun"/>
          <w:sz w:val="22"/>
          <w:szCs w:val="22"/>
          <w:lang w:val="en-IE"/>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1F7F04">
      <w:pPr>
        <w:keepNext/>
        <w:jc w:val="center"/>
        <w:rPr>
          <w:sz w:val="28"/>
          <w:szCs w:val="28"/>
          <w:lang w:val="en-GB"/>
        </w:rPr>
      </w:pPr>
      <w:r>
        <w:rPr>
          <w:snapToGrid/>
          <w:sz w:val="22"/>
          <w:szCs w:val="22"/>
          <w:lang w:val="en-GB"/>
        </w:rPr>
        <w:pict w14:anchorId="11F7E59B">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EB6B7C" w:rsidRDefault="006F5FD0" w:rsidP="00571687">
      <w:pPr>
        <w:ind w:left="709" w:hanging="349"/>
        <w:outlineLvl w:val="0"/>
        <w:rPr>
          <w:sz w:val="22"/>
          <w:szCs w:val="22"/>
          <w:lang w:val="en-GB"/>
        </w:rPr>
      </w:pPr>
      <w:r w:rsidRPr="00EB6B7C">
        <w:rPr>
          <w:rStyle w:val="Strong"/>
          <w:sz w:val="22"/>
          <w:szCs w:val="22"/>
          <w:lang w:val="en-GB"/>
        </w:rPr>
        <w:t>1</w:t>
      </w:r>
      <w:r w:rsidR="005639EC" w:rsidRPr="00EB6B7C">
        <w:rPr>
          <w:rStyle w:val="Strong"/>
          <w:sz w:val="22"/>
          <w:szCs w:val="22"/>
          <w:lang w:val="en-GB"/>
        </w:rPr>
        <w:t>4</w:t>
      </w:r>
      <w:r w:rsidRPr="00EB6B7C">
        <w:rPr>
          <w:rStyle w:val="Strong"/>
          <w:sz w:val="22"/>
          <w:szCs w:val="22"/>
          <w:lang w:val="en-GB"/>
        </w:rPr>
        <w:t xml:space="preserve">. </w:t>
      </w:r>
      <w:r w:rsidR="00584BF4" w:rsidRPr="00EB6B7C">
        <w:rPr>
          <w:rStyle w:val="Strong"/>
          <w:sz w:val="22"/>
          <w:szCs w:val="22"/>
          <w:lang w:val="en-GB"/>
        </w:rPr>
        <w:tab/>
      </w:r>
      <w:r w:rsidRPr="00EB6B7C">
        <w:rPr>
          <w:rStyle w:val="Strong"/>
          <w:sz w:val="22"/>
          <w:szCs w:val="22"/>
          <w:lang w:val="en-GB"/>
        </w:rPr>
        <w:t>Provisional commencement date of the contract</w:t>
      </w:r>
    </w:p>
    <w:p w14:paraId="7C4EA8E0" w14:textId="75DBF65C" w:rsidR="006F5FD0" w:rsidRPr="00EB6B7C" w:rsidRDefault="00EB6B7C" w:rsidP="00571687">
      <w:pPr>
        <w:pStyle w:val="Blockquote"/>
        <w:jc w:val="both"/>
        <w:rPr>
          <w:i/>
          <w:sz w:val="22"/>
          <w:szCs w:val="22"/>
          <w:lang w:val="en-GB"/>
        </w:rPr>
      </w:pPr>
      <w:r w:rsidRPr="00EB6B7C">
        <w:rPr>
          <w:rStyle w:val="Emphasis"/>
          <w:i w:val="0"/>
          <w:sz w:val="22"/>
          <w:szCs w:val="22"/>
          <w:lang w:val="en-GB"/>
        </w:rPr>
        <w:t>22</w:t>
      </w:r>
      <w:r w:rsidR="00636149" w:rsidRPr="00EB6B7C">
        <w:rPr>
          <w:rStyle w:val="Emphasis"/>
          <w:i w:val="0"/>
          <w:sz w:val="22"/>
          <w:szCs w:val="22"/>
          <w:lang w:val="en-GB"/>
        </w:rPr>
        <w:t>.0</w:t>
      </w:r>
      <w:r w:rsidRPr="00EB6B7C">
        <w:rPr>
          <w:rStyle w:val="Emphasis"/>
          <w:i w:val="0"/>
          <w:sz w:val="22"/>
          <w:szCs w:val="22"/>
          <w:lang w:val="en-GB"/>
        </w:rPr>
        <w:t>8</w:t>
      </w:r>
      <w:r w:rsidR="00636149" w:rsidRPr="00EB6B7C">
        <w:rPr>
          <w:rStyle w:val="Emphasis"/>
          <w:i w:val="0"/>
          <w:sz w:val="22"/>
          <w:szCs w:val="22"/>
          <w:lang w:val="en-GB"/>
        </w:rPr>
        <w:t>.2023.</w:t>
      </w:r>
    </w:p>
    <w:p w14:paraId="70B1A4AA" w14:textId="77777777" w:rsidR="006F5FD0" w:rsidRPr="00EB6B7C" w:rsidRDefault="005639EC" w:rsidP="00571687">
      <w:pPr>
        <w:ind w:left="709" w:hanging="349"/>
        <w:outlineLvl w:val="0"/>
        <w:rPr>
          <w:sz w:val="22"/>
          <w:szCs w:val="22"/>
          <w:lang w:val="en-GB"/>
        </w:rPr>
      </w:pPr>
      <w:r w:rsidRPr="00EB6B7C">
        <w:rPr>
          <w:rStyle w:val="Strong"/>
          <w:sz w:val="22"/>
          <w:szCs w:val="22"/>
          <w:lang w:val="en-GB"/>
        </w:rPr>
        <w:t>15</w:t>
      </w:r>
      <w:r w:rsidR="006F5FD0" w:rsidRPr="00EB6B7C">
        <w:rPr>
          <w:rStyle w:val="Strong"/>
          <w:sz w:val="22"/>
          <w:szCs w:val="22"/>
          <w:lang w:val="en-GB"/>
        </w:rPr>
        <w:t xml:space="preserve">. </w:t>
      </w:r>
      <w:r w:rsidR="00584BF4" w:rsidRPr="00EB6B7C">
        <w:rPr>
          <w:rStyle w:val="Strong"/>
          <w:sz w:val="22"/>
          <w:szCs w:val="22"/>
          <w:lang w:val="en-GB"/>
        </w:rPr>
        <w:tab/>
      </w:r>
      <w:r w:rsidRPr="00EB6B7C">
        <w:rPr>
          <w:rStyle w:val="Strong"/>
          <w:sz w:val="22"/>
          <w:szCs w:val="22"/>
          <w:lang w:val="en-GB"/>
        </w:rPr>
        <w:t>Implementation</w:t>
      </w:r>
      <w:r w:rsidR="006F5FD0" w:rsidRPr="00EB6B7C">
        <w:rPr>
          <w:rStyle w:val="Strong"/>
          <w:sz w:val="22"/>
          <w:szCs w:val="22"/>
          <w:lang w:val="en-GB"/>
        </w:rPr>
        <w:t xml:space="preserve"> period of </w:t>
      </w:r>
      <w:r w:rsidRPr="00EB6B7C">
        <w:rPr>
          <w:rStyle w:val="Strong"/>
          <w:sz w:val="22"/>
          <w:szCs w:val="22"/>
          <w:lang w:val="en-GB"/>
        </w:rPr>
        <w:t>the</w:t>
      </w:r>
      <w:r w:rsidR="00476D80" w:rsidRPr="00EB6B7C">
        <w:rPr>
          <w:rStyle w:val="Strong"/>
          <w:sz w:val="22"/>
          <w:szCs w:val="22"/>
          <w:lang w:val="en-GB"/>
        </w:rPr>
        <w:t xml:space="preserve"> tasks </w:t>
      </w:r>
    </w:p>
    <w:p w14:paraId="6A07015F" w14:textId="5FCA04B1" w:rsidR="006F5FD0" w:rsidRPr="00B33EE6" w:rsidRDefault="00EB6B7C" w:rsidP="00571687">
      <w:pPr>
        <w:pStyle w:val="Blockquote"/>
        <w:jc w:val="both"/>
        <w:rPr>
          <w:i/>
          <w:sz w:val="22"/>
          <w:szCs w:val="22"/>
          <w:lang w:val="en-GB"/>
        </w:rPr>
      </w:pPr>
      <w:r w:rsidRPr="00EB6B7C">
        <w:rPr>
          <w:rStyle w:val="Emphasis"/>
          <w:i w:val="0"/>
          <w:sz w:val="22"/>
          <w:szCs w:val="22"/>
          <w:lang w:val="en-GB"/>
        </w:rPr>
        <w:t>1 month.</w:t>
      </w:r>
    </w:p>
    <w:p w14:paraId="29CC7DD8" w14:textId="77777777" w:rsidR="006F5FD0" w:rsidRPr="00B33EE6" w:rsidRDefault="001F7F04">
      <w:pPr>
        <w:rPr>
          <w:sz w:val="22"/>
          <w:szCs w:val="22"/>
          <w:lang w:val="en-GB"/>
        </w:rPr>
      </w:pPr>
      <w:r>
        <w:rPr>
          <w:snapToGrid/>
          <w:sz w:val="22"/>
          <w:szCs w:val="22"/>
          <w:lang w:val="en-GB"/>
        </w:rPr>
        <w:pict w14:anchorId="6E3015B7">
          <v:line id="_x0000_s1030"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Capacity-providing entities</w:t>
      </w:r>
    </w:p>
    <w:p w14:paraId="5BF50C91" w14:textId="77777777" w:rsidR="00215403" w:rsidRPr="00AE0634" w:rsidRDefault="00215403" w:rsidP="002C2959">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C2959">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C2959">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351B547B" w:rsidR="006F5FD0" w:rsidRDefault="006F5FD0" w:rsidP="002C2959">
      <w:pPr>
        <w:pStyle w:val="Blockquote"/>
        <w:ind w:left="426"/>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27CC6CE3" w:rsidR="004916FF" w:rsidRDefault="004916FF" w:rsidP="002C2959">
      <w:pPr>
        <w:pStyle w:val="Blockquote"/>
        <w:ind w:left="426"/>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687A149B" w14:textId="77777777" w:rsidR="002C2959" w:rsidRDefault="002C2959">
      <w:pPr>
        <w:pStyle w:val="Blockquote"/>
        <w:jc w:val="both"/>
        <w:rPr>
          <w:sz w:val="22"/>
          <w:szCs w:val="22"/>
          <w:lang w:val="en-GB"/>
        </w:rPr>
      </w:pPr>
    </w:p>
    <w:p w14:paraId="4A3BC96C" w14:textId="0D6E2F43" w:rsidR="004916FF" w:rsidRPr="006E1BD0" w:rsidRDefault="004916FF" w:rsidP="002C2959">
      <w:pPr>
        <w:ind w:firstLine="414"/>
        <w:rPr>
          <w:sz w:val="22"/>
          <w:szCs w:val="22"/>
        </w:rPr>
      </w:pPr>
      <w:r w:rsidRPr="002C2959">
        <w:rPr>
          <w:sz w:val="22"/>
          <w:szCs w:val="22"/>
        </w:rPr>
        <w:t>The selection criteria for each tenderer are as follows:</w:t>
      </w:r>
    </w:p>
    <w:p w14:paraId="53A16187" w14:textId="6068178F" w:rsidR="006F5FD0" w:rsidRDefault="006F5FD0" w:rsidP="001531D7">
      <w:pPr>
        <w:pStyle w:val="Blockquote"/>
        <w:numPr>
          <w:ilvl w:val="0"/>
          <w:numId w:val="46"/>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145CAC15" w14:textId="1779D4FD" w:rsidR="001531D7" w:rsidRDefault="001531D7" w:rsidP="001531D7">
      <w:pPr>
        <w:pStyle w:val="Blockquote"/>
        <w:ind w:left="717" w:right="357"/>
        <w:jc w:val="both"/>
        <w:rPr>
          <w:sz w:val="22"/>
          <w:szCs w:val="22"/>
          <w:lang w:val="en-GB"/>
        </w:rPr>
      </w:pPr>
      <w:r w:rsidRPr="001531D7">
        <w:rPr>
          <w:sz w:val="22"/>
          <w:szCs w:val="22"/>
          <w:lang w:val="en-GB"/>
        </w:rPr>
        <w:t>The objective of this criterion is to examine whether or not the tenderer (i.e. the consortium as a whole, in the case of a tender from a consortium):</w:t>
      </w:r>
    </w:p>
    <w:p w14:paraId="37EC9AB8" w14:textId="0CD512C1" w:rsidR="001531D7" w:rsidRDefault="001531D7" w:rsidP="001531D7">
      <w:pPr>
        <w:pStyle w:val="Blockquote"/>
        <w:numPr>
          <w:ilvl w:val="0"/>
          <w:numId w:val="47"/>
        </w:numPr>
        <w:ind w:right="357"/>
        <w:jc w:val="both"/>
        <w:rPr>
          <w:sz w:val="22"/>
          <w:szCs w:val="22"/>
          <w:lang w:val="en-GB"/>
        </w:rPr>
      </w:pPr>
      <w:r w:rsidRPr="001531D7">
        <w:rPr>
          <w:sz w:val="22"/>
          <w:szCs w:val="22"/>
          <w:lang w:val="en-GB"/>
        </w:rPr>
        <w:t>will not be economically dependent on the contracting authority in the event that the contract is awarded to it; and</w:t>
      </w:r>
    </w:p>
    <w:p w14:paraId="1ED8F2E7" w14:textId="7FB05FC4" w:rsidR="001531D7" w:rsidRDefault="001531D7" w:rsidP="001531D7">
      <w:pPr>
        <w:pStyle w:val="Blockquote"/>
        <w:numPr>
          <w:ilvl w:val="0"/>
          <w:numId w:val="47"/>
        </w:numPr>
        <w:ind w:right="357"/>
        <w:jc w:val="both"/>
        <w:rPr>
          <w:sz w:val="22"/>
          <w:szCs w:val="22"/>
          <w:lang w:val="en-GB"/>
        </w:rPr>
      </w:pPr>
      <w:r w:rsidRPr="001531D7">
        <w:rPr>
          <w:sz w:val="22"/>
          <w:szCs w:val="22"/>
          <w:lang w:val="en-GB"/>
        </w:rPr>
        <w:t>has sufficient financial stability to handle the proposed contract.</w:t>
      </w:r>
    </w:p>
    <w:p w14:paraId="4CCA7663" w14:textId="77777777" w:rsidR="001531D7" w:rsidRPr="00EB6B7C" w:rsidRDefault="001531D7" w:rsidP="001531D7">
      <w:pPr>
        <w:pStyle w:val="Blockquote"/>
        <w:ind w:right="357"/>
        <w:jc w:val="both"/>
        <w:rPr>
          <w:b/>
          <w:sz w:val="22"/>
          <w:szCs w:val="22"/>
          <w:lang w:val="en-GB"/>
        </w:rPr>
      </w:pPr>
      <w:r w:rsidRPr="00EB6B7C">
        <w:rPr>
          <w:b/>
          <w:sz w:val="22"/>
          <w:szCs w:val="22"/>
          <w:lang w:val="en-GB"/>
        </w:rPr>
        <w:t>Financial criteria for legal and natural persons:</w:t>
      </w:r>
    </w:p>
    <w:p w14:paraId="0E2C9C45" w14:textId="77777777" w:rsidR="001531D7" w:rsidRPr="00EB6B7C" w:rsidRDefault="001531D7" w:rsidP="001531D7">
      <w:pPr>
        <w:pStyle w:val="Blockquote"/>
        <w:numPr>
          <w:ilvl w:val="0"/>
          <w:numId w:val="48"/>
        </w:numPr>
        <w:ind w:right="357"/>
        <w:jc w:val="both"/>
        <w:rPr>
          <w:b/>
          <w:sz w:val="22"/>
          <w:szCs w:val="22"/>
          <w:lang w:val="en-GB"/>
        </w:rPr>
      </w:pPr>
      <w:r w:rsidRPr="00EB6B7C">
        <w:rPr>
          <w:sz w:val="22"/>
          <w:szCs w:val="22"/>
          <w:lang w:val="en-GB"/>
        </w:rPr>
        <w:t>the average annual turnover of the tenderer for the last three years must exceed the annualised maximum budget of the contract.</w:t>
      </w:r>
    </w:p>
    <w:p w14:paraId="7ACAF809" w14:textId="77777777" w:rsidR="001531D7" w:rsidRPr="00B33EE6" w:rsidRDefault="001531D7" w:rsidP="001531D7">
      <w:pPr>
        <w:pStyle w:val="Blockquote"/>
        <w:ind w:right="357"/>
        <w:jc w:val="both"/>
        <w:rPr>
          <w:sz w:val="22"/>
          <w:szCs w:val="22"/>
          <w:lang w:val="en-GB"/>
        </w:rPr>
      </w:pPr>
    </w:p>
    <w:p w14:paraId="5D762B00" w14:textId="7B3CDD9E" w:rsidR="006F5FD0" w:rsidRPr="00B33EE6" w:rsidRDefault="002C2959" w:rsidP="00571687">
      <w:pPr>
        <w:pStyle w:val="Blockquote"/>
        <w:ind w:left="641" w:right="357" w:hanging="284"/>
        <w:jc w:val="both"/>
        <w:rPr>
          <w:sz w:val="22"/>
          <w:szCs w:val="22"/>
          <w:lang w:val="en-GB"/>
        </w:rPr>
      </w:pPr>
      <w:r>
        <w:rPr>
          <w:b/>
          <w:sz w:val="22"/>
          <w:szCs w:val="22"/>
          <w:u w:val="single"/>
          <w:lang w:val="en-GB"/>
        </w:rPr>
        <w:t>2</w:t>
      </w:r>
      <w:r w:rsidR="00571687" w:rsidRPr="00B33EE6">
        <w:rPr>
          <w:b/>
          <w:sz w:val="22"/>
          <w:szCs w:val="22"/>
          <w:u w:val="single"/>
          <w:lang w:val="en-GB"/>
        </w:rPr>
        <w:t>)</w:t>
      </w:r>
      <w:r w:rsidR="00571687"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28D02FA7"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w:t>
      </w:r>
      <w:r w:rsidRPr="00B33EE6">
        <w:rPr>
          <w:sz w:val="22"/>
          <w:szCs w:val="22"/>
          <w:lang w:val="en-GB"/>
        </w:rPr>
        <w:lastRenderedPageBreak/>
        <w:t>submission deadline.</w:t>
      </w:r>
    </w:p>
    <w:p w14:paraId="59A4FDA2" w14:textId="77777777" w:rsidR="001531D7" w:rsidRPr="001531D7" w:rsidRDefault="001531D7" w:rsidP="001531D7">
      <w:pPr>
        <w:pStyle w:val="Blockquote"/>
        <w:ind w:right="357" w:hanging="3"/>
        <w:jc w:val="both"/>
        <w:rPr>
          <w:sz w:val="22"/>
          <w:szCs w:val="22"/>
          <w:lang w:val="en-GB"/>
        </w:rPr>
      </w:pPr>
      <w:r w:rsidRPr="001531D7">
        <w:rPr>
          <w:sz w:val="22"/>
          <w:szCs w:val="22"/>
          <w:lang w:val="en-GB"/>
        </w:rPr>
        <w:t>The objective of this criterion is to examine whether or not the tenderer (i.e. the consortium as a whole, in the case of a tenderer from a consortium):</w:t>
      </w:r>
    </w:p>
    <w:p w14:paraId="29A31529" w14:textId="77777777" w:rsidR="001531D7" w:rsidRPr="001531D7" w:rsidRDefault="001531D7" w:rsidP="001531D7">
      <w:pPr>
        <w:pStyle w:val="Blockquote"/>
        <w:ind w:right="357" w:hanging="3"/>
        <w:jc w:val="both"/>
        <w:rPr>
          <w:sz w:val="22"/>
          <w:szCs w:val="22"/>
          <w:lang w:val="en-GB"/>
        </w:rPr>
      </w:pPr>
      <w:r w:rsidRPr="001531D7">
        <w:rPr>
          <w:sz w:val="22"/>
          <w:szCs w:val="22"/>
          <w:lang w:val="en-GB"/>
        </w:rPr>
        <w:t>•</w:t>
      </w:r>
      <w:r w:rsidRPr="001531D7">
        <w:rPr>
          <w:sz w:val="22"/>
          <w:szCs w:val="22"/>
          <w:lang w:val="en-GB"/>
        </w:rPr>
        <w:tab/>
        <w:t>has sufficient ongoing staff resources and expertise to be able to handle the proposed contract</w:t>
      </w:r>
    </w:p>
    <w:p w14:paraId="706F8030" w14:textId="77777777" w:rsidR="001531D7" w:rsidRPr="001531D7" w:rsidRDefault="001531D7" w:rsidP="001531D7">
      <w:pPr>
        <w:pStyle w:val="Blockquote"/>
        <w:ind w:right="357" w:hanging="3"/>
        <w:jc w:val="both"/>
        <w:rPr>
          <w:sz w:val="22"/>
          <w:szCs w:val="22"/>
          <w:lang w:val="en-GB"/>
        </w:rPr>
      </w:pPr>
      <w:r w:rsidRPr="001531D7">
        <w:rPr>
          <w:sz w:val="22"/>
          <w:szCs w:val="22"/>
          <w:lang w:val="en-GB"/>
        </w:rPr>
        <w:t>•</w:t>
      </w:r>
      <w:r w:rsidRPr="001531D7">
        <w:rPr>
          <w:sz w:val="22"/>
          <w:szCs w:val="22"/>
          <w:lang w:val="en-GB"/>
        </w:rPr>
        <w:tab/>
        <w:t>is not a so-called ‘body shop’, i.e. a tenderer with no real expertise in fields related to the contract but which simply identifies and proposes experts to fit the service contract description</w:t>
      </w:r>
    </w:p>
    <w:p w14:paraId="0402A015" w14:textId="77777777" w:rsidR="001531D7" w:rsidRDefault="001531D7" w:rsidP="001531D7">
      <w:pPr>
        <w:pStyle w:val="Blockquote"/>
        <w:ind w:right="26"/>
        <w:jc w:val="both"/>
        <w:rPr>
          <w:b/>
          <w:sz w:val="22"/>
          <w:szCs w:val="22"/>
          <w:highlight w:val="cyan"/>
        </w:rPr>
      </w:pPr>
    </w:p>
    <w:p w14:paraId="6660D959" w14:textId="613D340C" w:rsidR="001531D7" w:rsidRPr="00EB6B7C" w:rsidRDefault="001531D7" w:rsidP="001531D7">
      <w:pPr>
        <w:pStyle w:val="Blockquote"/>
        <w:ind w:right="26"/>
        <w:jc w:val="both"/>
        <w:rPr>
          <w:b/>
          <w:snapToGrid/>
          <w:sz w:val="22"/>
          <w:szCs w:val="22"/>
        </w:rPr>
      </w:pPr>
      <w:r w:rsidRPr="00EB6B7C">
        <w:rPr>
          <w:b/>
          <w:sz w:val="22"/>
          <w:szCs w:val="22"/>
        </w:rPr>
        <w:t xml:space="preserve">Professional criteria for </w:t>
      </w:r>
      <w:r w:rsidRPr="00EB6B7C">
        <w:rPr>
          <w:b/>
          <w:sz w:val="22"/>
          <w:szCs w:val="22"/>
          <w:u w:val="single"/>
        </w:rPr>
        <w:t xml:space="preserve">legal </w:t>
      </w:r>
      <w:r w:rsidRPr="00EB6B7C">
        <w:rPr>
          <w:b/>
          <w:sz w:val="22"/>
          <w:szCs w:val="22"/>
        </w:rPr>
        <w:t>persons:</w:t>
      </w:r>
    </w:p>
    <w:p w14:paraId="2C7F23AB" w14:textId="77777777" w:rsidR="001531D7" w:rsidRPr="00EB6B7C" w:rsidRDefault="001531D7" w:rsidP="001531D7">
      <w:pPr>
        <w:pStyle w:val="Blockquote"/>
        <w:numPr>
          <w:ilvl w:val="0"/>
          <w:numId w:val="49"/>
        </w:numPr>
        <w:ind w:right="26"/>
        <w:jc w:val="both"/>
        <w:rPr>
          <w:b/>
          <w:snapToGrid/>
          <w:sz w:val="22"/>
          <w:szCs w:val="22"/>
        </w:rPr>
      </w:pPr>
      <w:r w:rsidRPr="00EB6B7C">
        <w:rPr>
          <w:sz w:val="22"/>
          <w:szCs w:val="22"/>
        </w:rPr>
        <w:t>at least 50% of all staff currently work for the candidate in fields related to this contract</w:t>
      </w:r>
    </w:p>
    <w:p w14:paraId="10FA5782" w14:textId="77777777" w:rsidR="001531D7" w:rsidRPr="00B33EE6" w:rsidRDefault="001531D7" w:rsidP="001531D7">
      <w:pPr>
        <w:ind w:left="426"/>
        <w:rPr>
          <w:sz w:val="22"/>
          <w:szCs w:val="22"/>
          <w:lang w:val="en-GB"/>
        </w:rPr>
      </w:pPr>
    </w:p>
    <w:p w14:paraId="05E75179" w14:textId="5283DA21" w:rsidR="00BE08EC" w:rsidRDefault="006F5FD0" w:rsidP="002C2959">
      <w:pPr>
        <w:pStyle w:val="Blockquote"/>
        <w:numPr>
          <w:ilvl w:val="0"/>
          <w:numId w:val="50"/>
        </w:numPr>
        <w:ind w:right="357"/>
        <w:jc w:val="both"/>
        <w:rPr>
          <w:sz w:val="22"/>
          <w:szCs w:val="22"/>
          <w:lang w:val="en-GB"/>
        </w:rPr>
      </w:pPr>
      <w:r w:rsidRPr="00B33EE6">
        <w:rPr>
          <w:b/>
          <w:sz w:val="22"/>
          <w:szCs w:val="22"/>
          <w:u w:val="single"/>
          <w:lang w:val="en-GB"/>
        </w:rPr>
        <w:t xml:space="preserve">Technical capacity of </w:t>
      </w:r>
      <w:r w:rsidR="00C03AF5">
        <w:rPr>
          <w:b/>
          <w:sz w:val="22"/>
          <w:szCs w:val="22"/>
          <w:u w:val="single"/>
          <w:lang w:val="en-GB"/>
        </w:rPr>
        <w:t>tenderer</w:t>
      </w:r>
      <w:r w:rsidRPr="00B33EE6">
        <w:rPr>
          <w:b/>
          <w:sz w:val="22"/>
          <w:szCs w:val="22"/>
          <w:u w:val="single"/>
          <w:lang w:val="en-GB"/>
        </w:rPr>
        <w:t xml:space="preserve"> </w:t>
      </w:r>
      <w:r w:rsidR="00087A72" w:rsidRPr="00B33EE6">
        <w:rPr>
          <w:sz w:val="22"/>
          <w:szCs w:val="22"/>
          <w:lang w:val="en-GB"/>
        </w:rPr>
        <w:t>(</w:t>
      </w:r>
      <w:r w:rsidRPr="00B33EE6">
        <w:rPr>
          <w:sz w:val="22"/>
          <w:szCs w:val="22"/>
          <w:lang w:val="en-GB"/>
        </w:rPr>
        <w:t xml:space="preserve">based on items 5 and 6 of the </w:t>
      </w:r>
      <w:r w:rsidR="00994EA3" w:rsidRPr="00B33EE6">
        <w:rPr>
          <w:sz w:val="22"/>
          <w:szCs w:val="22"/>
          <w:lang w:val="en-GB"/>
        </w:rPr>
        <w:t>tender</w:t>
      </w:r>
      <w:r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420205">
        <w:rPr>
          <w:sz w:val="22"/>
          <w:szCs w:val="22"/>
          <w:lang w:val="en-GB"/>
        </w:rPr>
        <w:t xml:space="preserve">three years </w:t>
      </w:r>
      <w:r w:rsidR="00771F97">
        <w:rPr>
          <w:sz w:val="22"/>
          <w:szCs w:val="22"/>
          <w:lang w:val="en-GB"/>
        </w:rPr>
        <w:t>preceding the</w:t>
      </w:r>
      <w:r w:rsidR="00BE08EC" w:rsidRPr="00B33EE6">
        <w:rPr>
          <w:sz w:val="22"/>
          <w:szCs w:val="22"/>
          <w:lang w:val="en-GB"/>
        </w:rPr>
        <w:t xml:space="preserve"> submission deadline.</w:t>
      </w:r>
    </w:p>
    <w:p w14:paraId="4B857C3B" w14:textId="547924D2" w:rsidR="001531D7" w:rsidRDefault="001531D7" w:rsidP="001531D7">
      <w:pPr>
        <w:pStyle w:val="Blockquote"/>
        <w:ind w:left="717" w:right="357"/>
        <w:jc w:val="both"/>
        <w:rPr>
          <w:sz w:val="22"/>
          <w:szCs w:val="22"/>
          <w:lang w:val="en-GB"/>
        </w:rPr>
      </w:pPr>
      <w:r w:rsidRPr="001531D7">
        <w:rPr>
          <w:sz w:val="22"/>
          <w:szCs w:val="22"/>
          <w:lang w:val="en-GB"/>
        </w:rPr>
        <w:t>The objective of this criterion is to examine whether or not the tenderer (i.e. the consortium as a whole, in the case of a tender from a consortium) has sufficient expertise and experience to be able to handle the proposed contract.</w:t>
      </w:r>
    </w:p>
    <w:p w14:paraId="5E8E1A01" w14:textId="77777777" w:rsidR="001531D7" w:rsidRPr="00EB6B7C" w:rsidRDefault="001531D7" w:rsidP="001531D7">
      <w:pPr>
        <w:pStyle w:val="Blockquote"/>
        <w:tabs>
          <w:tab w:val="left" w:pos="709"/>
        </w:tabs>
        <w:ind w:left="709" w:hanging="283"/>
        <w:jc w:val="both"/>
        <w:rPr>
          <w:b/>
          <w:sz w:val="22"/>
          <w:szCs w:val="22"/>
          <w:lang w:val="en-GB"/>
        </w:rPr>
      </w:pPr>
      <w:r w:rsidRPr="00EB6B7C">
        <w:rPr>
          <w:b/>
          <w:sz w:val="22"/>
          <w:szCs w:val="22"/>
          <w:lang w:val="en-GB"/>
        </w:rPr>
        <w:t xml:space="preserve">Technical criterion for </w:t>
      </w:r>
      <w:r w:rsidRPr="00EB6B7C">
        <w:rPr>
          <w:b/>
          <w:sz w:val="22"/>
          <w:szCs w:val="22"/>
          <w:u w:val="single"/>
          <w:lang w:val="en-GB"/>
        </w:rPr>
        <w:t>legal and natural</w:t>
      </w:r>
      <w:r w:rsidRPr="00EB6B7C">
        <w:rPr>
          <w:b/>
          <w:sz w:val="22"/>
          <w:szCs w:val="22"/>
          <w:lang w:val="en-GB"/>
        </w:rPr>
        <w:t xml:space="preserve"> persons:</w:t>
      </w:r>
    </w:p>
    <w:p w14:paraId="0C887ABF" w14:textId="72028630" w:rsidR="001531D7" w:rsidRPr="00EB6B7C" w:rsidRDefault="001531D7" w:rsidP="001531D7">
      <w:pPr>
        <w:pStyle w:val="Blockquote"/>
        <w:numPr>
          <w:ilvl w:val="0"/>
          <w:numId w:val="34"/>
        </w:numPr>
        <w:tabs>
          <w:tab w:val="clear" w:pos="360"/>
          <w:tab w:val="left" w:pos="709"/>
        </w:tabs>
        <w:ind w:left="709" w:hanging="283"/>
        <w:jc w:val="both"/>
        <w:rPr>
          <w:sz w:val="22"/>
          <w:szCs w:val="22"/>
          <w:lang w:val="en-GB"/>
        </w:rPr>
      </w:pPr>
      <w:r w:rsidRPr="00EB6B7C">
        <w:rPr>
          <w:sz w:val="22"/>
          <w:szCs w:val="22"/>
          <w:lang w:val="en-GB"/>
        </w:rPr>
        <w:t xml:space="preserve">the tenderer has provided services under at least two (2) contracts, each with a budget of at least 50% of annualised maximum budget of the contract, in fields of organization of logistic of events and ensuring transportation, meals and accommodation which were implemented at any moment during the following period: </w:t>
      </w:r>
      <w:r w:rsidR="00EB6B7C" w:rsidRPr="00EB6B7C">
        <w:rPr>
          <w:sz w:val="22"/>
          <w:szCs w:val="22"/>
          <w:lang w:val="en-GB"/>
        </w:rPr>
        <w:t>21</w:t>
      </w:r>
      <w:r w:rsidRPr="00EB6B7C">
        <w:rPr>
          <w:sz w:val="22"/>
          <w:szCs w:val="22"/>
          <w:lang w:val="en-GB"/>
        </w:rPr>
        <w:t>.0</w:t>
      </w:r>
      <w:r w:rsidR="00EB6B7C" w:rsidRPr="00EB6B7C">
        <w:rPr>
          <w:sz w:val="22"/>
          <w:szCs w:val="22"/>
          <w:lang w:val="en-GB"/>
        </w:rPr>
        <w:t>8</w:t>
      </w:r>
      <w:r w:rsidRPr="00EB6B7C">
        <w:rPr>
          <w:sz w:val="22"/>
          <w:szCs w:val="22"/>
          <w:lang w:val="en-GB"/>
        </w:rPr>
        <w:t xml:space="preserve">.2020 – </w:t>
      </w:r>
      <w:r w:rsidR="00EB6B7C" w:rsidRPr="00EB6B7C">
        <w:rPr>
          <w:sz w:val="22"/>
          <w:szCs w:val="22"/>
          <w:lang w:val="en-GB"/>
        </w:rPr>
        <w:t>21</w:t>
      </w:r>
      <w:r w:rsidRPr="00EB6B7C">
        <w:rPr>
          <w:sz w:val="22"/>
          <w:szCs w:val="22"/>
          <w:lang w:val="en-GB"/>
        </w:rPr>
        <w:t>.0</w:t>
      </w:r>
      <w:r w:rsidR="00EB6B7C" w:rsidRPr="00EB6B7C">
        <w:rPr>
          <w:sz w:val="22"/>
          <w:szCs w:val="22"/>
          <w:lang w:val="en-GB"/>
        </w:rPr>
        <w:t>8</w:t>
      </w:r>
      <w:r w:rsidRPr="00EB6B7C">
        <w:rPr>
          <w:sz w:val="22"/>
          <w:szCs w:val="22"/>
          <w:lang w:val="en-GB"/>
        </w:rPr>
        <w:t>.2023.</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lastRenderedPageBreak/>
        <w:t>.</w:t>
      </w:r>
    </w:p>
    <w:p w14:paraId="793B56EE" w14:textId="77777777" w:rsidR="006F5FD0" w:rsidRPr="00B33EE6" w:rsidRDefault="001F7F04">
      <w:pPr>
        <w:rPr>
          <w:sz w:val="22"/>
          <w:szCs w:val="22"/>
          <w:lang w:val="en-GB"/>
        </w:rPr>
      </w:pPr>
      <w:r>
        <w:rPr>
          <w:snapToGrid/>
          <w:sz w:val="22"/>
          <w:szCs w:val="22"/>
          <w:lang w:val="en-GB"/>
        </w:rPr>
        <w:pict w14:anchorId="45BE0657">
          <v:line id="_x0000_s1031"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1F7F04"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3C086FDA" w14:textId="39D1738A" w:rsidR="00C227E6" w:rsidRDefault="00AF412E" w:rsidP="00BE5F29">
      <w:pPr>
        <w:widowControl/>
        <w:snapToGrid w:val="0"/>
        <w:spacing w:after="0"/>
        <w:ind w:left="360" w:right="360"/>
        <w:jc w:val="both"/>
        <w:rPr>
          <w:lang w:val="en-GB"/>
        </w:rPr>
      </w:pPr>
      <w:r w:rsidRPr="00EB6B7C">
        <w:rPr>
          <w:lang w:val="en-GB"/>
        </w:rPr>
        <w:t xml:space="preserve">Financial data to be provided by the candidate in the standard application </w:t>
      </w:r>
      <w:r w:rsidR="00981011" w:rsidRPr="00EB6B7C">
        <w:rPr>
          <w:lang w:val="en-GB"/>
        </w:rPr>
        <w:t>form must</w:t>
      </w:r>
      <w:r w:rsidRPr="00EB6B7C">
        <w:rPr>
          <w:lang w:val="en-GB"/>
        </w:rPr>
        <w:t xml:space="preserve"> be expressed in</w:t>
      </w:r>
      <w:r w:rsidR="00C227E6" w:rsidRPr="00EB6B7C">
        <w:rPr>
          <w:lang w:val="en-GB"/>
        </w:rPr>
        <w:t xml:space="preserve"> </w:t>
      </w:r>
      <w:r w:rsidR="00EB6B7C" w:rsidRPr="00EB6B7C">
        <w:rPr>
          <w:lang w:val="en-GB"/>
        </w:rPr>
        <w:t>EUR</w:t>
      </w:r>
      <w:r w:rsidR="00C227E6" w:rsidRPr="00EB6B7C">
        <w:rPr>
          <w:lang w:val="en-GB"/>
        </w:rPr>
        <w:t>,</w:t>
      </w:r>
    </w:p>
    <w:p w14:paraId="2AC4BD41" w14:textId="40EC66C2" w:rsidR="007F6AA9" w:rsidRPr="00C227E6" w:rsidRDefault="00AF412E" w:rsidP="00C227E6">
      <w:pPr>
        <w:widowControl/>
        <w:snapToGrid w:val="0"/>
        <w:spacing w:after="0"/>
        <w:ind w:left="360" w:right="360"/>
        <w:jc w:val="both"/>
        <w:rPr>
          <w:lang w:val="en-GB"/>
        </w:rPr>
      </w:pPr>
      <w:r w:rsidRPr="00EB6B7C">
        <w:rPr>
          <w:lang w:val="en-GB"/>
        </w:rPr>
        <w:t>If applicable, where a candidate refers to amounts originally expressed in a different currency, the conversion to</w:t>
      </w:r>
      <w:r w:rsidR="00C227E6" w:rsidRPr="00EB6B7C">
        <w:rPr>
          <w:lang w:val="en-GB"/>
        </w:rPr>
        <w:t xml:space="preserve"> EUR</w:t>
      </w:r>
      <w:r w:rsidRPr="00EB6B7C">
        <w:rPr>
          <w:lang w:val="en-GB"/>
        </w:rPr>
        <w:t xml:space="preserve"> shall be made in accordance with the InforEuro </w:t>
      </w:r>
      <w:r w:rsidRPr="00EB6B7C">
        <w:rPr>
          <w:lang w:val="en-GB"/>
        </w:rPr>
        <w:lastRenderedPageBreak/>
        <w:t>exchange rate of</w:t>
      </w:r>
      <w:r w:rsidR="00C227E6" w:rsidRPr="00EB6B7C">
        <w:rPr>
          <w:lang w:val="en-GB"/>
        </w:rPr>
        <w:t xml:space="preserve"> </w:t>
      </w:r>
      <w:r w:rsidR="00EB6B7C" w:rsidRPr="00EB6B7C">
        <w:rPr>
          <w:lang w:val="en-GB"/>
        </w:rPr>
        <w:t>July</w:t>
      </w:r>
      <w:r w:rsidR="00C227E6" w:rsidRPr="00EB6B7C">
        <w:rPr>
          <w:lang w:val="en-GB"/>
        </w:rPr>
        <w:t xml:space="preserve"> 2023</w:t>
      </w:r>
      <w:r w:rsidRPr="00EB6B7C">
        <w:rPr>
          <w:lang w:val="en-GB"/>
        </w:rPr>
        <w:t xml:space="preserve"> correspond to the month and year of the publication of the present contract notice, which can be found at the following address: </w:t>
      </w:r>
      <w:hyperlink r:id="rId10" w:history="1">
        <w:r w:rsidRPr="00EB6B7C">
          <w:rPr>
            <w:rStyle w:val="Hyperlink"/>
            <w:lang w:val="en-GB"/>
          </w:rPr>
          <w:t>http://ec.europa.eu/budget/graphs/inforeuro.html</w:t>
        </w:r>
      </w:hyperlink>
      <w:r w:rsidRPr="00EB6B7C">
        <w:rPr>
          <w:lang w:val="en-GB"/>
        </w:rPr>
        <w:t>.</w:t>
      </w:r>
      <w:bookmarkStart w:id="14" w:name="_GoBack"/>
      <w:bookmarkEnd w:id="14"/>
    </w:p>
    <w:sectPr w:rsidR="007F6AA9" w:rsidRPr="00C227E6"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7DD1" w14:textId="77777777" w:rsidR="001F7F04" w:rsidRDefault="001F7F04">
      <w:r>
        <w:separator/>
      </w:r>
    </w:p>
  </w:endnote>
  <w:endnote w:type="continuationSeparator" w:id="0">
    <w:p w14:paraId="34A0D2AD" w14:textId="77777777" w:rsidR="001F7F04" w:rsidRDefault="001F7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62D63A9F"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EB6B7C">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EB6B7C">
      <w:rPr>
        <w:rStyle w:val="PageNumber"/>
        <w:noProof/>
        <w:sz w:val="18"/>
        <w:szCs w:val="18"/>
        <w:lang w:val="en-GB"/>
      </w:rPr>
      <w:t>6</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8E0D6" w14:textId="77777777" w:rsidR="001F7F04" w:rsidRDefault="001F7F04">
      <w:r>
        <w:separator/>
      </w:r>
    </w:p>
  </w:footnote>
  <w:footnote w:type="continuationSeparator" w:id="0">
    <w:p w14:paraId="34DD195A" w14:textId="77777777" w:rsidR="001F7F04" w:rsidRDefault="001F7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0883149"/>
    <w:multiLevelType w:val="hybridMultilevel"/>
    <w:tmpl w:val="FC5AAB42"/>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7535ACF"/>
    <w:multiLevelType w:val="hybridMultilevel"/>
    <w:tmpl w:val="023640C2"/>
    <w:lvl w:ilvl="0" w:tplc="8376C7C2">
      <w:start w:val="3"/>
      <w:numFmt w:val="decimal"/>
      <w:lvlText w:val="%1)"/>
      <w:lvlJc w:val="left"/>
      <w:pPr>
        <w:ind w:left="644" w:hanging="360"/>
      </w:pPr>
      <w:rPr>
        <w:rFonts w:hint="default"/>
        <w:b/>
        <w:u w:val="single"/>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ECC3A96"/>
    <w:multiLevelType w:val="hybridMultilevel"/>
    <w:tmpl w:val="779AAF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57521E3D"/>
    <w:multiLevelType w:val="hybridMultilevel"/>
    <w:tmpl w:val="6AA81F3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48" w15:restartNumberingAfterBreak="0">
    <w:nsid w:val="61042C7A"/>
    <w:multiLevelType w:val="hybridMultilevel"/>
    <w:tmpl w:val="09183D64"/>
    <w:lvl w:ilvl="0" w:tplc="F6023462">
      <w:start w:val="1"/>
      <w:numFmt w:val="decimal"/>
      <w:lvlText w:val="%1)"/>
      <w:lvlJc w:val="left"/>
      <w:pPr>
        <w:ind w:left="644" w:hanging="360"/>
      </w:pPr>
      <w:rPr>
        <w:rFonts w:hint="default"/>
        <w:b/>
        <w:u w:val="singl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9" w15:restartNumberingAfterBreak="0">
    <w:nsid w:val="62E9557C"/>
    <w:multiLevelType w:val="hybridMultilevel"/>
    <w:tmpl w:val="8710EB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3"/>
  </w:num>
  <w:num w:numId="35">
    <w:abstractNumId w:val="35"/>
  </w:num>
  <w:num w:numId="36">
    <w:abstractNumId w:val="33"/>
  </w:num>
  <w:num w:numId="37">
    <w:abstractNumId w:val="38"/>
  </w:num>
  <w:num w:numId="38">
    <w:abstractNumId w:val="41"/>
  </w:num>
  <w:num w:numId="39">
    <w:abstractNumId w:val="46"/>
  </w:num>
  <w:num w:numId="40">
    <w:abstractNumId w:val="50"/>
  </w:num>
  <w:num w:numId="41">
    <w:abstractNumId w:val="42"/>
  </w:num>
  <w:num w:numId="42">
    <w:abstractNumId w:val="45"/>
  </w:num>
  <w:num w:numId="43">
    <w:abstractNumId w:val="39"/>
  </w:num>
  <w:num w:numId="44">
    <w:abstractNumId w:val="34"/>
  </w:num>
  <w:num w:numId="45">
    <w:abstractNumId w:val="47"/>
  </w:num>
  <w:num w:numId="46">
    <w:abstractNumId w:val="48"/>
  </w:num>
  <w:num w:numId="47">
    <w:abstractNumId w:val="37"/>
  </w:num>
  <w:num w:numId="48">
    <w:abstractNumId w:val="49"/>
  </w:num>
  <w:num w:numId="49">
    <w:abstractNumId w:val="4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58DA"/>
    <w:rsid w:val="000B693E"/>
    <w:rsid w:val="000B7C91"/>
    <w:rsid w:val="000C1101"/>
    <w:rsid w:val="000C1156"/>
    <w:rsid w:val="000C1522"/>
    <w:rsid w:val="000D1732"/>
    <w:rsid w:val="000D3847"/>
    <w:rsid w:val="000D3B81"/>
    <w:rsid w:val="000D3EBF"/>
    <w:rsid w:val="000E4709"/>
    <w:rsid w:val="000F02F0"/>
    <w:rsid w:val="000F0F6C"/>
    <w:rsid w:val="000F1340"/>
    <w:rsid w:val="000F5DEF"/>
    <w:rsid w:val="0010162C"/>
    <w:rsid w:val="00105302"/>
    <w:rsid w:val="0013314C"/>
    <w:rsid w:val="0014405E"/>
    <w:rsid w:val="00145CFA"/>
    <w:rsid w:val="00150687"/>
    <w:rsid w:val="001531D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780C"/>
    <w:rsid w:val="001F7F04"/>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C2959"/>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6CAD"/>
    <w:rsid w:val="003E782D"/>
    <w:rsid w:val="00400098"/>
    <w:rsid w:val="0040360C"/>
    <w:rsid w:val="004108A4"/>
    <w:rsid w:val="00420205"/>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973AA"/>
    <w:rsid w:val="005A21DC"/>
    <w:rsid w:val="005B35A2"/>
    <w:rsid w:val="005B4F80"/>
    <w:rsid w:val="005B5E3C"/>
    <w:rsid w:val="005C71EF"/>
    <w:rsid w:val="005D41DD"/>
    <w:rsid w:val="005F776D"/>
    <w:rsid w:val="0060359F"/>
    <w:rsid w:val="0061336A"/>
    <w:rsid w:val="006309DE"/>
    <w:rsid w:val="00632BDC"/>
    <w:rsid w:val="00636149"/>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55D4"/>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4384"/>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81011"/>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27E6"/>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73993"/>
    <w:rsid w:val="00E813B7"/>
    <w:rsid w:val="00E82874"/>
    <w:rsid w:val="00E845AC"/>
    <w:rsid w:val="00E867FC"/>
    <w:rsid w:val="00E9047D"/>
    <w:rsid w:val="00EA0ACE"/>
    <w:rsid w:val="00EA399C"/>
    <w:rsid w:val="00EB4C19"/>
    <w:rsid w:val="00EB6B7C"/>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00C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CAEE5-E9E4-4AE3-9B1A-3AF9D7694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Pages>
  <Words>1667</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11153</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Ivan Živković</cp:lastModifiedBy>
  <cp:revision>50</cp:revision>
  <cp:lastPrinted>2016-05-31T08:36:00Z</cp:lastPrinted>
  <dcterms:created xsi:type="dcterms:W3CDTF">2020-04-15T15:51:00Z</dcterms:created>
  <dcterms:modified xsi:type="dcterms:W3CDTF">2023-07-17T21:00:00Z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