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00" w:after="100"/>
        <w:jc w:val="center"/>
        <w:rPr>
          <w:sz w:val="28"/>
          <w:b/>
          <w:sz w:val="28"/>
          <w:b/>
          <w:szCs w:val="28"/>
          <w:lang w:val="en-GB"/>
        </w:rPr>
      </w:pPr>
      <w:r>
        <w:rPr>
          <w:b/>
          <w:sz w:val="28"/>
          <w:szCs w:val="28"/>
          <w:lang w:val="en-GB"/>
        </w:rPr>
        <w:t>Additional information about the Contract Notice</w:t>
      </w:r>
      <w:r/>
    </w:p>
    <w:p>
      <w:pPr>
        <w:pStyle w:val="Normal"/>
        <w:jc w:val="center"/>
        <w:rPr>
          <w:sz w:val="28"/>
          <w:b/>
          <w:sz w:val="28"/>
          <w:b/>
          <w:szCs w:val="28"/>
          <w:rFonts w:ascii="Times New Roman" w:hAnsi="Times New Roman" w:eastAsia="Times New Roman" w:cs="Times New Roman"/>
          <w:color w:val="00000A"/>
          <w:lang w:val="en-GB" w:eastAsia="en-US" w:bidi="ar-SA"/>
        </w:rPr>
      </w:pPr>
      <w:r>
        <w:rPr>
          <w:rFonts w:eastAsia="Times New Roman" w:cs="Times New Roman"/>
          <w:b/>
          <w:color w:val="00000A"/>
          <w:sz w:val="28"/>
          <w:szCs w:val="28"/>
          <w:lang w:val="en-GB" w:eastAsia="en-US" w:bidi="ar-SA"/>
        </w:rPr>
      </w:r>
      <w:r/>
    </w:p>
    <w:p>
      <w:pPr>
        <w:pStyle w:val="Normal"/>
      </w:pPr>
      <w:r>
        <w:rPr/>
      </w:r>
      <w:r/>
    </w:p>
    <w:p>
      <w:pPr>
        <w:pStyle w:val="Normal"/>
        <w:spacing w:before="100" w:after="240"/>
        <w:jc w:val="center"/>
      </w:pPr>
      <w:r>
        <w:rPr>
          <w:rStyle w:val="Strong"/>
          <w:sz w:val="28"/>
          <w:szCs w:val="28"/>
          <w:lang w:val="en-GB"/>
        </w:rPr>
        <w:t>Supply of passinger van</w:t>
        <w:br/>
        <w:t>Location – Pirot district, Republic of Serbia</w:t>
      </w:r>
      <w:r/>
    </w:p>
    <w:p>
      <w:pPr>
        <w:pStyle w:val="PRAGHeading2"/>
        <w:numPr>
          <w:ilvl w:val="0"/>
          <w:numId w:val="1"/>
        </w:numPr>
        <w:ind w:left="426" w:hanging="426"/>
        <w:rPr>
          <w:lang w:val="en-GB"/>
        </w:rPr>
      </w:pPr>
      <w:r>
        <w:rPr>
          <w:rStyle w:val="Strong"/>
          <w:sz w:val="22"/>
          <w:szCs w:val="22"/>
          <w:lang w:val="en-GB"/>
        </w:rPr>
        <w:t>Nature of contract</w:t>
      </w:r>
      <w:r/>
    </w:p>
    <w:p>
      <w:pPr>
        <w:pStyle w:val="Normal"/>
        <w:ind w:firstLine="360"/>
        <w:rPr>
          <w:sz w:val="22"/>
          <w:b w:val="false"/>
          <w:sz w:val="22"/>
          <w:b w:val="false"/>
          <w:szCs w:val="22"/>
          <w:lang w:val="en-GB"/>
        </w:rPr>
      </w:pPr>
      <w:r>
        <w:rPr/>
        <w:t xml:space="preserve"> </w:t>
      </w:r>
      <w:r>
        <w:rPr>
          <w:rStyle w:val="Strong"/>
          <w:b w:val="false"/>
          <w:sz w:val="22"/>
          <w:szCs w:val="22"/>
          <w:lang w:val="en-GB"/>
        </w:rPr>
        <w:t>Unit price</w:t>
      </w:r>
      <w:r/>
    </w:p>
    <w:p>
      <w:pPr>
        <w:pStyle w:val="PRAGHeading2"/>
        <w:numPr>
          <w:ilvl w:val="0"/>
          <w:numId w:val="1"/>
        </w:numPr>
        <w:ind w:left="426" w:hanging="426"/>
        <w:rPr>
          <w:sz w:val="22"/>
          <w:sz w:val="22"/>
          <w:szCs w:val="22"/>
          <w:lang w:val="en-GB"/>
        </w:rPr>
      </w:pPr>
      <w:r>
        <w:rPr>
          <w:rStyle w:val="Strong"/>
          <w:sz w:val="22"/>
          <w:szCs w:val="22"/>
          <w:lang w:val="en-GB"/>
        </w:rPr>
        <w:t>Programme title</w:t>
      </w:r>
      <w:r/>
    </w:p>
    <w:p>
      <w:pPr>
        <w:pStyle w:val="PRAGHeading2"/>
        <w:numPr>
          <w:ilvl w:val="0"/>
          <w:numId w:val="0"/>
        </w:numPr>
        <w:ind w:left="426" w:hanging="0"/>
        <w:rPr>
          <w:lang w:val="de-DE"/>
        </w:rPr>
      </w:pPr>
      <w:r>
        <w:rPr>
          <w:lang w:val="de-DE"/>
        </w:rPr>
        <w:t>Interreg - IPA CBC Bulgaria -Serbia Programme</w:t>
      </w:r>
      <w:r/>
    </w:p>
    <w:p>
      <w:pPr>
        <w:pStyle w:val="PRAGHeading2"/>
        <w:numPr>
          <w:ilvl w:val="0"/>
          <w:numId w:val="1"/>
        </w:numPr>
        <w:ind w:left="426" w:hanging="426"/>
        <w:rPr>
          <w:sz w:val="22"/>
          <w:sz w:val="22"/>
          <w:szCs w:val="22"/>
        </w:rPr>
      </w:pPr>
      <w:r>
        <w:rPr>
          <w:rStyle w:val="Strong"/>
          <w:sz w:val="22"/>
          <w:szCs w:val="22"/>
          <w:lang w:val="en-GB"/>
        </w:rPr>
        <w:t>Financing</w:t>
      </w:r>
      <w:r/>
    </w:p>
    <w:p>
      <w:pPr>
        <w:pStyle w:val="Normal"/>
        <w:ind w:left="426" w:right="360" w:hanging="0"/>
      </w:pPr>
      <w:r>
        <w:rPr>
          <w:sz w:val="22"/>
          <w:szCs w:val="22"/>
          <w:lang w:val="en-GB"/>
        </w:rPr>
        <w:t xml:space="preserve">Budget line BL 5 – Equipment and works – 5.2 – Supply – Supply of </w:t>
      </w:r>
      <w:r>
        <w:rPr>
          <w:sz w:val="22"/>
          <w:szCs w:val="22"/>
          <w:lang w:val="en-US"/>
        </w:rPr>
        <w:t>passinger van /</w:t>
      </w:r>
      <w:r>
        <w:rPr>
          <w:sz w:val="22"/>
          <w:szCs w:val="22"/>
          <w:lang w:val="en-GB"/>
        </w:rPr>
        <w:t>Subsidy contract RD-02-29-188/04.11.2020.</w:t>
      </w:r>
      <w:r/>
    </w:p>
    <w:p>
      <w:pPr>
        <w:pStyle w:val="PRAGHeading2"/>
        <w:numPr>
          <w:ilvl w:val="0"/>
          <w:numId w:val="1"/>
        </w:numPr>
        <w:ind w:left="426" w:hanging="426"/>
        <w:rPr>
          <w:sz w:val="22"/>
          <w:sz w:val="22"/>
          <w:szCs w:val="22"/>
          <w:lang w:val="en-GB"/>
        </w:rPr>
      </w:pPr>
      <w:r>
        <w:rPr>
          <w:rStyle w:val="Strong"/>
          <w:sz w:val="22"/>
          <w:szCs w:val="22"/>
          <w:lang w:val="en-GB"/>
        </w:rPr>
        <w:t>Eligibility and rules of origin</w:t>
      </w:r>
      <w:r/>
    </w:p>
    <w:p>
      <w:pPr>
        <w:pStyle w:val="Normal"/>
        <w:widowControl/>
        <w:spacing w:before="0" w:after="120"/>
        <w:ind w:left="426" w:hanging="0"/>
        <w:jc w:val="both"/>
        <w:rPr>
          <w:sz w:val="22"/>
          <w:sz w:val="22"/>
          <w:szCs w:val="22"/>
          <w:lang w:val="en-GB"/>
        </w:rPr>
      </w:pPr>
      <w:r>
        <w:rPr>
          <w:sz w:val="22"/>
          <w:szCs w:val="22"/>
          <w:lang w:val="en-GB"/>
        </w:rPr>
        <w:t xml:space="preserve">Participation is open to all </w:t>
      </w:r>
      <w:r>
        <w:rPr>
          <w:rFonts w:eastAsia="Calibri" w:cs="Arial"/>
          <w:sz w:val="22"/>
          <w:szCs w:val="22"/>
        </w:rPr>
        <w:t xml:space="preserve">natural persons who are nationals of and </w:t>
      </w:r>
      <w:r>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under </w:t>
      </w:r>
      <w:r>
        <w:rPr>
          <w:rFonts w:eastAsia="Calibri" w:cs="Arial"/>
          <w:bCs/>
          <w:sz w:val="22"/>
          <w:szCs w:val="22"/>
        </w:rPr>
        <w:t xml:space="preserve">the Regulation </w:t>
      </w:r>
      <w:r>
        <w:rPr>
          <w:sz w:val="22"/>
          <w:szCs w:val="22"/>
          <w:lang w:val="en-GB"/>
        </w:rPr>
        <w:t>(EU) No </w:t>
      </w:r>
      <w:r>
        <w:rPr>
          <w:rFonts w:eastAsia="MS Mincho"/>
          <w:sz w:val="22"/>
          <w:szCs w:val="22"/>
          <w:lang w:val="en-GB" w:eastAsia="ja-JP"/>
        </w:rPr>
        <w:t xml:space="preserve">236/2014 </w:t>
      </w:r>
      <w:r>
        <w:rPr>
          <w:rFonts w:eastAsia="Calibri" w:cs="Arial"/>
          <w:bCs/>
          <w:sz w:val="22"/>
          <w:szCs w:val="22"/>
        </w:rPr>
        <w:t xml:space="preserve">establishing common rules and procedures for the implementation of the Union's instruments for external action (CIR) </w:t>
      </w:r>
      <w:r>
        <w:rPr>
          <w:sz w:val="22"/>
          <w:szCs w:val="22"/>
          <w:lang w:val="en-GB"/>
        </w:rPr>
        <w:t>for the applicable instrument under which the contract is financed (see also heading ‘Legal basis’ below)</w:t>
      </w:r>
      <w:r>
        <w:rPr>
          <w:rFonts w:eastAsia="Calibri" w:cs="Arial"/>
          <w:sz w:val="22"/>
          <w:szCs w:val="22"/>
        </w:rPr>
        <w:t xml:space="preserve">. </w:t>
      </w:r>
      <w:r>
        <w:rPr>
          <w:sz w:val="22"/>
          <w:szCs w:val="22"/>
          <w:lang w:val="en-GB"/>
        </w:rPr>
        <w:t xml:space="preserve">Participation is also open to international organisations. </w:t>
      </w:r>
      <w:r/>
    </w:p>
    <w:p>
      <w:pPr>
        <w:pStyle w:val="Normal"/>
        <w:widowControl/>
        <w:spacing w:before="0" w:after="120"/>
        <w:ind w:left="426" w:hanging="0"/>
        <w:jc w:val="both"/>
        <w:rPr>
          <w:sz w:val="22"/>
          <w:sz w:val="22"/>
          <w:szCs w:val="22"/>
          <w:lang w:val="en-GB"/>
        </w:rPr>
      </w:pPr>
      <w:r>
        <w:rPr>
          <w:sz w:val="22"/>
          <w:szCs w:val="22"/>
          <w:lang w:val="en-GB"/>
        </w:rPr>
        <w:t xml:space="preserve">All supplies under this contract may </w:t>
      </w:r>
      <w:r>
        <w:rPr>
          <w:rFonts w:eastAsia="Calibri" w:cs="Arial"/>
          <w:szCs w:val="24"/>
        </w:rPr>
        <w:t>originate from any country.</w:t>
      </w:r>
      <w:r/>
    </w:p>
    <w:p>
      <w:pPr>
        <w:pStyle w:val="PRAGHeading2"/>
        <w:numPr>
          <w:ilvl w:val="0"/>
          <w:numId w:val="1"/>
        </w:numPr>
        <w:ind w:left="426" w:hanging="426"/>
        <w:rPr>
          <w:sz w:val="22"/>
          <w:sz w:val="22"/>
          <w:szCs w:val="22"/>
          <w:lang w:val="en-GB"/>
        </w:rPr>
      </w:pPr>
      <w:r>
        <w:rPr>
          <w:rStyle w:val="Strong"/>
          <w:sz w:val="22"/>
          <w:szCs w:val="22"/>
          <w:lang w:val="en-GB"/>
        </w:rPr>
        <w:t xml:space="preserve">Candidature </w:t>
      </w:r>
      <w:r/>
    </w:p>
    <w:p>
      <w:pPr>
        <w:pStyle w:val="PRAGHeading2"/>
        <w:numPr>
          <w:ilvl w:val="0"/>
          <w:numId w:val="0"/>
        </w:numPr>
        <w:ind w:left="426" w:hanging="0"/>
        <w:jc w:val="both"/>
        <w:rPr>
          <w:sz w:val="22"/>
          <w:b w:val="false"/>
          <w:sz w:val="22"/>
          <w:b w:val="false"/>
          <w:szCs w:val="22"/>
          <w:lang w:val="en-GB"/>
        </w:rPr>
      </w:pPr>
      <w:r>
        <w:rPr>
          <w:rStyle w:val="Strong"/>
          <w:b w:val="false"/>
          <w:sz w:val="22"/>
          <w:szCs w:val="22"/>
          <w:lang w:val="en-GB"/>
        </w:rPr>
        <w:t>All eligible natural and legal persons (as per item 4 above)</w:t>
      </w:r>
      <w:r>
        <w:rPr>
          <w:rStyle w:val="Strong"/>
          <w:sz w:val="22"/>
          <w:szCs w:val="22"/>
          <w:lang w:val="en-GB"/>
        </w:rPr>
        <w:t xml:space="preserve"> </w:t>
      </w:r>
      <w:r>
        <w:rPr>
          <w:rStyle w:val="Strong"/>
          <w:b w:val="false"/>
          <w:sz w:val="22"/>
          <w:szCs w:val="22"/>
          <w:lang w:val="en-GB"/>
        </w:rPr>
        <w:t>or groupings of such persons (consortia) may apply.</w:t>
      </w:r>
      <w:r/>
    </w:p>
    <w:p>
      <w:pPr>
        <w:pStyle w:val="PRAGHeading2"/>
        <w:numPr>
          <w:ilvl w:val="0"/>
          <w:numId w:val="0"/>
        </w:numPr>
        <w:ind w:left="426" w:hanging="0"/>
        <w:jc w:val="both"/>
        <w:rPr>
          <w:sz w:val="22"/>
          <w:b w:val="false"/>
          <w:sz w:val="22"/>
          <w:b w:val="false"/>
          <w:szCs w:val="22"/>
          <w:lang w:val="en-GB"/>
        </w:rPr>
      </w:pPr>
      <w:r>
        <w:rPr>
          <w:rStyle w:val="Strong"/>
          <w:b w:val="false"/>
          <w:sz w:val="22"/>
          <w:szCs w:val="22"/>
          <w:lang w:val="en-GB"/>
        </w:rPr>
        <w:t>A consortium may be a permanent, legally-established grouping or a grouping which has been constituted informally for a specific tender procedure. All partners of a consortium (i.e., the leader and all other partners) are jointly and severally liable to the contracting authority.</w:t>
      </w:r>
      <w:r/>
    </w:p>
    <w:p>
      <w:pPr>
        <w:pStyle w:val="PRAGHeading2"/>
        <w:numPr>
          <w:ilvl w:val="0"/>
          <w:numId w:val="0"/>
        </w:numPr>
        <w:ind w:left="426" w:hanging="0"/>
        <w:jc w:val="both"/>
        <w:rPr>
          <w:sz w:val="22"/>
          <w:b w:val="false"/>
          <w:sz w:val="22"/>
          <w:b w:val="false"/>
          <w:szCs w:val="22"/>
          <w:lang w:val="en-GB"/>
        </w:rPr>
      </w:pPr>
      <w:r>
        <w:rPr>
          <w:rStyle w:val="Strong"/>
          <w:b w:val="false"/>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r/>
    </w:p>
    <w:p>
      <w:pPr>
        <w:pStyle w:val="PRAGHeading2"/>
        <w:numPr>
          <w:ilvl w:val="0"/>
          <w:numId w:val="1"/>
        </w:numPr>
        <w:ind w:left="426" w:hanging="426"/>
        <w:rPr>
          <w:sz w:val="22"/>
          <w:sz w:val="22"/>
          <w:szCs w:val="22"/>
          <w:lang w:val="en-GB"/>
        </w:rPr>
      </w:pPr>
      <w:r>
        <w:rPr>
          <w:rStyle w:val="Strong"/>
          <w:sz w:val="22"/>
          <w:szCs w:val="22"/>
          <w:lang w:val="en-GB"/>
        </w:rPr>
        <w:t>Number of applications or tenders</w:t>
      </w:r>
      <w:r/>
    </w:p>
    <w:p>
      <w:pPr>
        <w:pStyle w:val="PRAGHeading2"/>
        <w:numPr>
          <w:ilvl w:val="0"/>
          <w:numId w:val="0"/>
        </w:numPr>
        <w:ind w:left="426" w:hanging="0"/>
        <w:jc w:val="both"/>
        <w:rPr>
          <w:sz w:val="22"/>
          <w:b w:val="false"/>
          <w:sz w:val="22"/>
          <w:b w:val="false"/>
          <w:szCs w:val="22"/>
          <w:lang w:val="en-GB"/>
        </w:rPr>
      </w:pPr>
      <w:r>
        <w:rPr>
          <w:rStyle w:val="Strong"/>
          <w:b w:val="false"/>
          <w:sz w:val="22"/>
          <w:szCs w:val="22"/>
          <w:lang w:val="en-GB"/>
        </w:rPr>
        <w:t xml:space="preserve">No more than one application or tender can be submitted by a natural or legal person whatever the form of participation (as an individual legal entity or as leader or partner of a consortium submitting an application/tender). In the event that a natural or legal person submits more than one application or tender, all applications or tenders in which that person has participated will be excluded. </w:t>
      </w:r>
      <w:r/>
    </w:p>
    <w:p>
      <w:pPr>
        <w:pStyle w:val="Blockquote"/>
        <w:ind w:left="426" w:right="-48" w:hanging="0"/>
        <w:jc w:val="both"/>
        <w:rPr>
          <w:sz w:val="22"/>
          <w:sz w:val="22"/>
          <w:szCs w:val="22"/>
          <w:lang w:val="en-GB"/>
        </w:rPr>
      </w:pPr>
      <w:r>
        <w:rPr>
          <w:sz w:val="22"/>
          <w:szCs w:val="22"/>
          <w:lang w:val="en-GB"/>
        </w:rPr>
        <w:t>In case of lots, the candidates or tenderers may submit only one application or tender per lot. Contracts will be awarded lot by lot and each lot will form a separate contract.</w:t>
      </w:r>
      <w:r/>
    </w:p>
    <w:p>
      <w:pPr>
        <w:pStyle w:val="Blockquote"/>
        <w:ind w:left="426" w:right="-48" w:hanging="0"/>
        <w:jc w:val="both"/>
        <w:rPr>
          <w:sz w:val="22"/>
          <w:sz w:val="22"/>
          <w:szCs w:val="22"/>
          <w:lang w:val="en-GB"/>
        </w:rPr>
      </w:pPr>
      <w:r>
        <w:rPr>
          <w:sz w:val="22"/>
          <w:szCs w:val="22"/>
          <w:lang w:val="en-GB"/>
        </w:rPr>
        <w:t xml:space="preserve">Tenders for parts of a lot will not be considered. Tenderers may not submit a tender for a variant solution in addition to their tender for the works or supplies required in the tender dossier. </w:t>
      </w:r>
      <w:r/>
    </w:p>
    <w:p>
      <w:pPr>
        <w:pStyle w:val="Blockquote"/>
        <w:ind w:left="426" w:right="-48" w:hanging="0"/>
        <w:jc w:val="both"/>
        <w:rPr>
          <w:sz w:val="22"/>
          <w:sz w:val="22"/>
          <w:szCs w:val="22"/>
          <w:lang w:val="en-GB"/>
        </w:rPr>
      </w:pPr>
      <w:r>
        <w:rPr>
          <w:sz w:val="22"/>
          <w:szCs w:val="22"/>
          <w:lang w:val="en-GB"/>
        </w:rPr>
        <w:t>Any tenderer may state in its tender that it would offer a discount in the event that its tender is accepted for more than one lot.</w:t>
      </w:r>
      <w:r/>
    </w:p>
    <w:p>
      <w:pPr>
        <w:pStyle w:val="PRAGHeading2"/>
        <w:numPr>
          <w:ilvl w:val="0"/>
          <w:numId w:val="1"/>
        </w:numPr>
        <w:ind w:left="426" w:right="-48" w:hanging="426"/>
      </w:pPr>
      <w:r>
        <w:rPr>
          <w:rStyle w:val="Strong"/>
          <w:sz w:val="22"/>
          <w:szCs w:val="22"/>
          <w:lang w:val="en-GB"/>
        </w:rPr>
        <w:t>Tender guarantee</w:t>
      </w:r>
      <w:r/>
    </w:p>
    <w:p>
      <w:pPr>
        <w:pStyle w:val="PRAGHeading2"/>
        <w:numPr>
          <w:ilvl w:val="0"/>
          <w:numId w:val="0"/>
        </w:numPr>
        <w:ind w:hanging="0"/>
      </w:pPr>
      <w:r>
        <w:rPr>
          <w:sz w:val="22"/>
          <w:szCs w:val="22"/>
          <w:lang w:val="en-GB"/>
        </w:rPr>
        <w:t>No tender guarantee is required.</w:t>
      </w:r>
      <w:r/>
    </w:p>
    <w:p>
      <w:pPr>
        <w:pStyle w:val="PRAGHeading2"/>
        <w:numPr>
          <w:ilvl w:val="0"/>
          <w:numId w:val="1"/>
        </w:numPr>
        <w:ind w:left="426" w:hanging="426"/>
      </w:pPr>
      <w:r>
        <w:rPr>
          <w:rStyle w:val="Strong"/>
          <w:sz w:val="22"/>
          <w:szCs w:val="22"/>
          <w:lang w:val="en-GB"/>
        </w:rPr>
        <w:t>Performance guarantee</w:t>
      </w:r>
      <w:r/>
    </w:p>
    <w:p>
      <w:pPr>
        <w:pStyle w:val="Normal"/>
        <w:ind w:hanging="0"/>
        <w:jc w:val="both"/>
      </w:pPr>
      <w:bookmarkStart w:id="0" w:name="__DdeLink__4679_1384212840"/>
      <w:r>
        <w:rPr>
          <w:sz w:val="22"/>
          <w:szCs w:val="22"/>
        </w:rPr>
        <w:t>The amount of the performance guarantee shall be 5 % of the amount of the contract VAT excluded, including any amounts stipulated in addenda to the contract.The performance guarantee sh</w:t>
      </w:r>
      <w:r>
        <w:rPr>
          <w:sz w:val="22"/>
          <w:szCs w:val="22"/>
          <w:lang w:val="bg-BG"/>
        </w:rPr>
        <w:t>о</w:t>
      </w:r>
      <w:r>
        <w:rPr>
          <w:sz w:val="22"/>
          <w:szCs w:val="22"/>
        </w:rPr>
        <w:t xml:space="preserve">uld be provided in the form of  signed and registered blank own promissory note, in favour of the Contracting authority, with authorization in the amount of 5% of the contracted value, with the clause unconditional and payable on the first call in the name on behalf of the execution of contractual obligations, as well as a card deposited signatures. </w:t>
      </w:r>
      <w:r>
        <w:rPr>
          <w:b/>
          <w:bCs/>
          <w:sz w:val="22"/>
          <w:szCs w:val="22"/>
        </w:rPr>
        <w:t xml:space="preserve">The performance guarantee shall be submitted at the time of concluding the Contract.  </w:t>
      </w:r>
      <w:bookmarkEnd w:id="0"/>
      <w:r>
        <w:rPr>
          <w:color w:val="000000"/>
          <w:sz w:val="22"/>
          <w:szCs w:val="22"/>
        </w:rPr>
        <w:t>If the selected tenderer fails to provide such a guarantee within this period, the contract will be void and a new contract may be drawn up and sent to the tenderer which has submitted the next cheapest compliant tender.</w:t>
      </w:r>
      <w:r/>
    </w:p>
    <w:p>
      <w:pPr>
        <w:pStyle w:val="PRAGHeading2"/>
        <w:ind w:left="426" w:hanging="426"/>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p>
      <w:pPr>
        <w:pStyle w:val="PRAGHeading2"/>
        <w:numPr>
          <w:ilvl w:val="0"/>
          <w:numId w:val="0"/>
        </w:numPr>
        <w:ind w:left="426" w:hanging="0"/>
        <w:jc w:val="both"/>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w:r>
      <w:r/>
    </w:p>
    <w:p>
      <w:pPr>
        <w:pStyle w:val="PRAGHeading2"/>
        <w:numPr>
          <w:ilvl w:val="0"/>
          <w:numId w:val="1"/>
        </w:numPr>
        <w:ind w:left="426" w:hanging="426"/>
        <w:rPr>
          <w:sz w:val="22"/>
          <w:sz w:val="22"/>
          <w:szCs w:val="22"/>
          <w:lang w:val="en-GB"/>
        </w:rPr>
      </w:pPr>
      <w:r>
        <w:rPr>
          <w:rStyle w:val="Strong"/>
          <w:sz w:val="22"/>
          <w:szCs w:val="22"/>
          <w:lang w:val="en-GB"/>
        </w:rPr>
        <w:t>Information meeting and/or site visit</w:t>
      </w:r>
      <w:r/>
    </w:p>
    <w:p>
      <w:pPr>
        <w:pStyle w:val="Blockquote"/>
        <w:ind w:left="426" w:right="360" w:hanging="0"/>
        <w:rPr>
          <w:sz w:val="22"/>
          <w:sz w:val="22"/>
          <w:szCs w:val="22"/>
          <w:lang w:val="en-GB"/>
        </w:rPr>
      </w:pPr>
      <w:r>
        <w:rPr>
          <w:sz w:val="22"/>
          <w:szCs w:val="22"/>
          <w:lang w:val="en-GB"/>
        </w:rPr>
        <w:t>No information meeting is planned</w:t>
      </w:r>
      <w:r/>
    </w:p>
    <w:p>
      <w:pPr>
        <w:pStyle w:val="PRAGHeading2"/>
        <w:numPr>
          <w:ilvl w:val="0"/>
          <w:numId w:val="1"/>
        </w:numPr>
        <w:ind w:left="426" w:hanging="426"/>
        <w:jc w:val="both"/>
        <w:rPr>
          <w:sz w:val="22"/>
          <w:sz w:val="22"/>
          <w:szCs w:val="22"/>
          <w:lang w:val="en-GB"/>
        </w:rPr>
      </w:pPr>
      <w:r>
        <w:rPr>
          <w:rStyle w:val="Strong"/>
          <w:sz w:val="22"/>
          <w:szCs w:val="22"/>
          <w:lang w:val="en-GB"/>
        </w:rPr>
        <w:t>Tender validity</w:t>
      </w:r>
      <w:r/>
    </w:p>
    <w:p>
      <w:pPr>
        <w:pStyle w:val="PRAGHeading2"/>
        <w:numPr>
          <w:ilvl w:val="0"/>
          <w:numId w:val="0"/>
        </w:numPr>
        <w:ind w:left="426" w:hanging="0"/>
        <w:jc w:val="both"/>
        <w:rPr>
          <w:sz w:val="22"/>
          <w:sz w:val="22"/>
          <w:szCs w:val="22"/>
          <w:lang w:val="en-GB"/>
        </w:rPr>
      </w:pPr>
      <w:r>
        <w:rPr>
          <w:sz w:val="22"/>
          <w:szCs w:val="22"/>
          <w:lang w:val="en-GB"/>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r/>
    </w:p>
    <w:p>
      <w:pPr>
        <w:pStyle w:val="PRAGHeading2"/>
        <w:numPr>
          <w:ilvl w:val="0"/>
          <w:numId w:val="1"/>
        </w:numPr>
        <w:ind w:left="426" w:hanging="426"/>
        <w:rPr>
          <w:sz w:val="22"/>
          <w:sz w:val="22"/>
          <w:szCs w:val="22"/>
          <w:lang w:val="en-GB"/>
        </w:rPr>
      </w:pPr>
      <w:r>
        <w:rPr>
          <w:rStyle w:val="Strong"/>
          <w:sz w:val="22"/>
          <w:szCs w:val="22"/>
          <w:lang w:val="en-GB"/>
        </w:rPr>
        <w:t>Grounds for exclusion</w:t>
      </w:r>
      <w:r/>
    </w:p>
    <w:p>
      <w:pPr>
        <w:pStyle w:val="Normal"/>
        <w:ind w:left="426" w:hanging="0"/>
        <w:jc w:val="both"/>
        <w:rPr>
          <w:sz w:val="22"/>
          <w:b/>
          <w:sz w:val="22"/>
          <w:b/>
          <w:szCs w:val="22"/>
          <w:lang w:val="en-GB"/>
        </w:rPr>
      </w:pPr>
      <w:r>
        <w:rPr>
          <w:sz w:val="22"/>
          <w:szCs w:val="22"/>
          <w:lang w:val="en-GB"/>
        </w:rPr>
        <w:t xml:space="preserve">Candidates or tenderers must submit a signed declaration, included in the application form or tender form, to the effect that they are not in any of the situations listed in Section 2.6.10.1. of the </w:t>
      </w:r>
      <w:r>
        <w:rPr>
          <w:b/>
          <w:sz w:val="22"/>
          <w:szCs w:val="22"/>
          <w:lang w:val="en-GB"/>
        </w:rPr>
        <w:t xml:space="preserve">practical guide (PRAG). </w:t>
      </w:r>
      <w:r>
        <w:rPr>
          <w:sz w:val="22"/>
          <w:szCs w:val="22"/>
          <w:lang w:val="en-GB"/>
        </w:rPr>
        <w:t>Where the candidate or tenderer intends to rely on capacity providing entities or subcontractor(s), he/she must provide the same declaration signed by this/these entity(ies).</w:t>
      </w:r>
      <w:r/>
    </w:p>
    <w:p>
      <w:pPr>
        <w:pStyle w:val="Blockquote"/>
        <w:ind w:left="426" w:right="26" w:hanging="0"/>
        <w:jc w:val="both"/>
        <w:rPr>
          <w:sz w:val="22"/>
          <w:sz w:val="22"/>
          <w:szCs w:val="22"/>
          <w:lang w:val="en-GB"/>
        </w:rPr>
      </w:pPr>
      <w:r>
        <w:rPr>
          <w:sz w:val="22"/>
          <w:szCs w:val="22"/>
          <w:lang w:val="en-GB"/>
        </w:rPr>
        <w:t>Candidates or tenderers included in the lists of EU restrictive measures (see Section 2.4. of the PRAG) at the moment of the award decision cannot be awarded the contract.</w:t>
      </w:r>
      <w:r/>
    </w:p>
    <w:p>
      <w:pPr>
        <w:pStyle w:val="PRAGHeading2"/>
        <w:numPr>
          <w:ilvl w:val="0"/>
          <w:numId w:val="1"/>
        </w:numPr>
        <w:ind w:left="426" w:hanging="426"/>
        <w:rPr>
          <w:sz w:val="22"/>
          <w:sz w:val="22"/>
          <w:szCs w:val="22"/>
          <w:lang w:val="en-GB"/>
        </w:rPr>
      </w:pPr>
      <w:r>
        <w:rPr>
          <w:rStyle w:val="Strong"/>
          <w:sz w:val="22"/>
          <w:szCs w:val="22"/>
          <w:lang w:val="en-GB"/>
        </w:rPr>
        <w:t xml:space="preserve">Sub-contracting </w:t>
      </w:r>
      <w:r/>
    </w:p>
    <w:p>
      <w:pPr>
        <w:pStyle w:val="Default"/>
        <w:spacing w:before="100" w:after="120"/>
        <w:ind w:left="426" w:hanging="0"/>
        <w:jc w:val="both"/>
        <w:rPr>
          <w:sz w:val="22"/>
          <w:sz w:val="22"/>
          <w:szCs w:val="22"/>
          <w:rFonts w:ascii="Times New Roman" w:hAnsi="Times New Roman" w:cs="Times New Roman"/>
        </w:rPr>
      </w:pPr>
      <w:r>
        <w:rPr>
          <w:rStyle w:val="Emphasis"/>
          <w:i w:val="false"/>
          <w:sz w:val="22"/>
          <w:szCs w:val="22"/>
        </w:rPr>
        <w:t xml:space="preserve">Sub-contracting is allowed. </w:t>
      </w:r>
      <w:r/>
    </w:p>
    <w:p>
      <w:pPr>
        <w:pStyle w:val="PRAGHeading2"/>
        <w:numPr>
          <w:ilvl w:val="0"/>
          <w:numId w:val="1"/>
        </w:numPr>
        <w:ind w:left="426" w:hanging="426"/>
        <w:rPr>
          <w:sz w:val="22"/>
          <w:sz w:val="22"/>
          <w:szCs w:val="22"/>
          <w:lang w:val="en-GB"/>
        </w:rPr>
      </w:pPr>
      <w:r>
        <w:rPr>
          <w:rStyle w:val="Strong"/>
          <w:sz w:val="22"/>
          <w:szCs w:val="22"/>
          <w:lang w:val="en-GB"/>
        </w:rPr>
        <w:t xml:space="preserve">Provisional date of invitation to tender </w:t>
      </w:r>
      <w:r/>
    </w:p>
    <w:p>
      <w:pPr>
        <w:pStyle w:val="PRAGHeading2"/>
        <w:numPr>
          <w:ilvl w:val="0"/>
          <w:numId w:val="0"/>
        </w:numPr>
        <w:ind w:left="426" w:hanging="0"/>
        <w:rPr>
          <w:sz w:val="22"/>
          <w:i w:val="false"/>
          <w:sz w:val="22"/>
          <w:i w:val="false"/>
          <w:szCs w:val="22"/>
          <w:rFonts w:ascii="Times New Roman" w:hAnsi="Times New Roman" w:eastAsia="Times New Roman" w:cs="Times New Roman"/>
          <w:color w:val="00000A"/>
          <w:lang w:val="en-GB" w:eastAsia="en-US" w:bidi="ar-SA"/>
        </w:rPr>
      </w:pPr>
      <w:r>
        <w:rPr>
          <w:rFonts w:eastAsia="Times New Roman" w:cs="Times New Roman"/>
          <w:i w:val="false"/>
          <w:color w:val="00000A"/>
          <w:sz w:val="22"/>
          <w:szCs w:val="22"/>
          <w:lang w:val="en-GB" w:eastAsia="en-US" w:bidi="ar-SA"/>
        </w:rPr>
        <w:t>15.06.2021.</w:t>
      </w:r>
      <w:r/>
    </w:p>
    <w:p>
      <w:pPr>
        <w:pStyle w:val="PRAGHeading2"/>
        <w:numPr>
          <w:ilvl w:val="0"/>
          <w:numId w:val="1"/>
        </w:numPr>
        <w:ind w:left="426" w:hanging="426"/>
        <w:rPr>
          <w:sz w:val="22"/>
          <w:sz w:val="22"/>
          <w:szCs w:val="22"/>
          <w:lang w:val="en-GB"/>
        </w:rPr>
      </w:pPr>
      <w:bookmarkStart w:id="1" w:name="__DdeLink__210_2130152139"/>
      <w:bookmarkEnd w:id="1"/>
      <w:r>
        <w:rPr>
          <w:rStyle w:val="Strong"/>
          <w:sz w:val="22"/>
          <w:szCs w:val="22"/>
          <w:lang w:val="en-GB"/>
        </w:rPr>
        <w:t xml:space="preserve">Provisional commencement date of the contract </w:t>
      </w:r>
      <w:r/>
    </w:p>
    <w:p>
      <w:pPr>
        <w:pStyle w:val="PRAGHeading2"/>
        <w:numPr>
          <w:ilvl w:val="0"/>
          <w:numId w:val="0"/>
        </w:numPr>
        <w:ind w:left="426" w:hanging="0"/>
        <w:rPr>
          <w:sz w:val="22"/>
          <w:i w:val="false"/>
          <w:sz w:val="22"/>
          <w:i w:val="false"/>
          <w:szCs w:val="22"/>
          <w:rFonts w:ascii="Times New Roman" w:hAnsi="Times New Roman" w:eastAsia="Times New Roman" w:cs="Times New Roman"/>
          <w:color w:val="00000A"/>
          <w:lang w:val="en-GB" w:eastAsia="en-US" w:bidi="ar-SA"/>
        </w:rPr>
      </w:pPr>
      <w:r>
        <w:rPr>
          <w:rFonts w:eastAsia="Times New Roman" w:cs="Times New Roman"/>
          <w:i w:val="false"/>
          <w:color w:val="00000A"/>
          <w:sz w:val="22"/>
          <w:szCs w:val="22"/>
          <w:lang w:val="en-GB" w:eastAsia="en-US" w:bidi="ar-SA"/>
        </w:rPr>
        <w:t>27.07.2021.</w:t>
      </w:r>
      <w:r/>
    </w:p>
    <w:p>
      <w:pPr>
        <w:pStyle w:val="PRAGHeading2"/>
        <w:numPr>
          <w:ilvl w:val="0"/>
          <w:numId w:val="1"/>
        </w:numPr>
        <w:ind w:left="426" w:hanging="426"/>
        <w:rPr>
          <w:sz w:val="22"/>
          <w:sz w:val="22"/>
          <w:szCs w:val="22"/>
          <w:lang w:val="en-GB"/>
        </w:rPr>
      </w:pPr>
      <w:r>
        <w:rPr>
          <w:rStyle w:val="Strong"/>
          <w:sz w:val="22"/>
          <w:szCs w:val="22"/>
          <w:lang w:val="en-GB"/>
        </w:rPr>
        <w:t>P</w:t>
      </w:r>
      <w:r>
        <w:rPr>
          <w:rStyle w:val="Strong"/>
          <w:lang w:val="en-GB"/>
        </w:rPr>
        <w:t>eriod of implementation of tasks</w:t>
      </w:r>
      <w:r/>
    </w:p>
    <w:p>
      <w:pPr>
        <w:pStyle w:val="PRAGHeading2"/>
        <w:numPr>
          <w:ilvl w:val="0"/>
          <w:numId w:val="0"/>
        </w:numPr>
        <w:ind w:left="426" w:hanging="0"/>
      </w:pPr>
      <w:r>
        <w:rPr>
          <w:sz w:val="22"/>
          <w:szCs w:val="22"/>
          <w:lang w:val="en-GB"/>
        </w:rPr>
        <w:t>3 months, from contract signature</w:t>
      </w:r>
      <w:r/>
    </w:p>
    <w:p>
      <w:pPr>
        <w:pStyle w:val="Normal"/>
        <w:keepNext/>
        <w:keepLines/>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mc:AlternateContent>
          <mc:Choice Requires="wps">
            <w:drawing>
              <wp:anchor behindDoc="0" distT="0" distB="0" distL="114300" distR="114300" simplePos="0" locked="0" layoutInCell="1" allowOverlap="1" relativeHeight="2">
                <wp:simplePos x="0" y="0"/>
                <wp:positionH relativeFrom="column">
                  <wp:posOffset>0</wp:posOffset>
                </wp:positionH>
                <wp:positionV relativeFrom="paragraph">
                  <wp:posOffset>153035</wp:posOffset>
                </wp:positionV>
                <wp:extent cx="5946775" cy="1270"/>
                <wp:effectExtent l="0" t="0" r="0" b="0"/>
                <wp:wrapNone/>
                <wp:docPr id="1" name="Straight Connector 7"/>
                <a:graphic xmlns:a="http://schemas.openxmlformats.org/drawingml/2006/main">
                  <a:graphicData uri="http://schemas.microsoft.com/office/word/2010/wordprocessingShape">
                    <wps:wsp>
                      <wps:cNvSpPr/>
                      <wps:spPr>
                        <a:xfrm>
                          <a:off x="0" y="0"/>
                          <a:ext cx="5946120" cy="0"/>
                        </a:xfrm>
                        <a:prstGeom prst="line">
                          <a:avLst/>
                        </a:prstGeom>
                        <a:ln w="22320">
                          <a:solidFill>
                            <a:srgbClr val="d4d4d4"/>
                          </a:solidFill>
                          <a:round/>
                        </a:ln>
                      </wps:spPr>
                      <wps:bodyPr/>
                    </wps:wsp>
                  </a:graphicData>
                </a:graphic>
              </wp:anchor>
            </w:drawing>
          </mc:Choice>
          <mc:Fallback>
            <w:pict>
              <v:line id="shape_0" from="0pt,12.05pt" to="468.15pt,12.05pt" ID="Straight Connector 7" stroked="t" style="position:absolute">
                <v:stroke color="#d4d4d4" weight="22320" joinstyle="round" endcap="flat"/>
                <v:fill on="false" o:detectmouseclick="t"/>
              </v:line>
            </w:pict>
          </mc:Fallback>
        </mc:AlternateContent>
      </w:r>
      <w:r/>
    </w:p>
    <w:p>
      <w:pPr>
        <w:pStyle w:val="Normal"/>
        <w:keepNext/>
        <w:keepLines/>
        <w:ind w:left="360" w:hanging="0"/>
        <w:jc w:val="center"/>
        <w:rPr>
          <w:sz w:val="22"/>
          <w:sz w:val="22"/>
          <w:szCs w:val="22"/>
          <w:lang w:val="en-GB"/>
        </w:rPr>
      </w:pPr>
      <w:r>
        <w:rPr>
          <w:rStyle w:val="Strong"/>
          <w:sz w:val="22"/>
          <w:szCs w:val="22"/>
          <w:lang w:val="en-GB"/>
        </w:rPr>
        <w:t>SELECTION AND AWARD CRITERIA</w:t>
      </w:r>
      <w:r/>
    </w:p>
    <w:p>
      <w:pPr>
        <w:pStyle w:val="PRAGHeading2"/>
        <w:numPr>
          <w:ilvl w:val="0"/>
          <w:numId w:val="1"/>
        </w:numPr>
        <w:ind w:left="426" w:hanging="426"/>
        <w:rPr>
          <w:sz w:val="22"/>
          <w:sz w:val="22"/>
          <w:szCs w:val="22"/>
          <w:lang w:val="en-GB"/>
        </w:rPr>
      </w:pPr>
      <w:r>
        <w:rPr>
          <w:rStyle w:val="Strong"/>
          <w:sz w:val="22"/>
          <w:szCs w:val="22"/>
          <w:lang w:val="en-GB"/>
        </w:rPr>
        <w:t>Selection criteria</w:t>
      </w:r>
      <w:r/>
    </w:p>
    <w:p>
      <w:pPr>
        <w:pStyle w:val="Normal"/>
        <w:spacing w:before="240" w:after="0"/>
        <w:ind w:left="426" w:right="-48" w:hanging="0"/>
        <w:jc w:val="both"/>
        <w:rPr>
          <w:sz w:val="22"/>
          <w:sz w:val="22"/>
          <w:szCs w:val="22"/>
          <w:lang w:val="en-GB"/>
        </w:rPr>
      </w:pPr>
      <w:r>
        <w:rPr>
          <w:sz w:val="22"/>
          <w:szCs w:val="22"/>
          <w:lang w:val="en-GB"/>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r>
        <w:rPr/>
        <w:t xml:space="preserve"> </w:t>
      </w:r>
      <w:r/>
    </w:p>
    <w:p>
      <w:pPr>
        <w:pStyle w:val="Normal"/>
        <w:ind w:firstLine="414"/>
        <w:rPr>
          <w:sz w:val="22"/>
          <w:sz w:val="22"/>
          <w:szCs w:val="22"/>
        </w:rPr>
      </w:pPr>
      <w:r>
        <w:rPr>
          <w:sz w:val="22"/>
          <w:szCs w:val="22"/>
        </w:rPr>
        <w:t>The selection criteria for each tenderer are as follows:</w:t>
      </w:r>
      <w:r/>
    </w:p>
    <w:p>
      <w:pPr>
        <w:pStyle w:val="Blockquote"/>
        <w:ind w:left="840" w:right="-48" w:hanging="360"/>
        <w:jc w:val="both"/>
        <w:rPr>
          <w:sz w:val="22"/>
          <w:sz w:val="22"/>
          <w:szCs w:val="22"/>
          <w:lang w:val="en-GB"/>
        </w:rPr>
      </w:pPr>
      <w:r>
        <w:rPr>
          <w:b/>
          <w:sz w:val="22"/>
          <w:szCs w:val="22"/>
          <w:u w:val="single"/>
          <w:lang w:val="en-GB"/>
        </w:rPr>
        <w:t>1)</w:t>
      </w:r>
      <w:r>
        <w:rPr>
          <w:sz w:val="22"/>
          <w:szCs w:val="22"/>
          <w:lang w:val="en-GB"/>
        </w:rPr>
        <w:t xml:space="preserve"> </w:t>
      </w:r>
      <w:r>
        <w:rPr>
          <w:b/>
          <w:sz w:val="22"/>
          <w:szCs w:val="22"/>
          <w:u w:val="single"/>
          <w:lang w:val="en-GB"/>
        </w:rPr>
        <w:t>Economic and financial capacity</w:t>
      </w:r>
      <w:r>
        <w:rPr>
          <w:sz w:val="22"/>
          <w:szCs w:val="22"/>
          <w:lang w:val="en-GB"/>
        </w:rPr>
        <w:t xml:space="preserve"> </w:t>
      </w:r>
      <w:r>
        <w:rPr>
          <w:b/>
          <w:sz w:val="22"/>
          <w:szCs w:val="22"/>
          <w:lang w:val="en-GB"/>
        </w:rPr>
        <w:t>(</w:t>
      </w:r>
      <w:r>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r/>
    </w:p>
    <w:p>
      <w:pPr>
        <w:pStyle w:val="ListParagraph"/>
        <w:numPr>
          <w:ilvl w:val="0"/>
          <w:numId w:val="3"/>
        </w:numPr>
        <w:rPr>
          <w:sz w:val="22"/>
          <w:sz w:val="22"/>
          <w:szCs w:val="22"/>
        </w:rPr>
      </w:pPr>
      <w:r>
        <w:rPr>
          <w:sz w:val="22"/>
          <w:szCs w:val="22"/>
        </w:rPr>
        <w:t xml:space="preserve">the average annual turnover of the tenderer over past three years </w:t>
      </w:r>
      <w:r>
        <w:rPr>
          <w:b/>
          <w:sz w:val="22"/>
          <w:szCs w:val="22"/>
        </w:rPr>
        <w:t>must exceed</w:t>
      </w:r>
      <w:r>
        <w:rPr>
          <w:sz w:val="22"/>
          <w:szCs w:val="22"/>
        </w:rPr>
        <w:t xml:space="preserve"> the value of the Tenderer’s Financial offer.</w:t>
      </w:r>
      <w:r/>
    </w:p>
    <w:p>
      <w:pPr>
        <w:pStyle w:val="Blockquote"/>
        <w:ind w:left="830" w:right="-48" w:hanging="284"/>
        <w:jc w:val="both"/>
        <w:rPr>
          <w:sz w:val="22"/>
          <w:sz w:val="22"/>
          <w:szCs w:val="22"/>
          <w:lang w:val="en-GB"/>
        </w:rPr>
      </w:pPr>
      <w:r>
        <w:rPr>
          <w:b/>
          <w:sz w:val="22"/>
          <w:szCs w:val="22"/>
          <w:u w:val="single"/>
          <w:lang w:val="en-GB"/>
        </w:rPr>
        <w:t>2)</w:t>
      </w:r>
      <w:r>
        <w:rPr>
          <w:sz w:val="22"/>
          <w:szCs w:val="22"/>
          <w:lang w:val="en-GB"/>
        </w:rPr>
        <w:t xml:space="preserve"> </w:t>
      </w:r>
      <w:r>
        <w:rPr>
          <w:b/>
          <w:sz w:val="22"/>
          <w:szCs w:val="22"/>
          <w:u w:val="single"/>
          <w:lang w:val="en-GB"/>
        </w:rPr>
        <w:t>Professional capacity</w:t>
      </w:r>
      <w:r>
        <w:rPr>
          <w:sz w:val="22"/>
          <w:szCs w:val="22"/>
          <w:lang w:val="en-GB"/>
        </w:rPr>
        <w:t xml:space="preserve"> (based on items 4 and 5 of the application form for service contracts and on items 4 and 5 of the tender form for supply contracts). The reference period which will be taken into account will be the last three years preceding the submission deadline.</w:t>
      </w:r>
      <w:r/>
    </w:p>
    <w:p>
      <w:pPr>
        <w:pStyle w:val="Blockquote"/>
        <w:ind w:left="1134" w:right="360" w:hanging="0"/>
        <w:rPr>
          <w:sz w:val="22"/>
          <w:sz w:val="22"/>
          <w:szCs w:val="22"/>
        </w:rPr>
      </w:pPr>
      <w:r>
        <w:rPr>
          <w:sz w:val="22"/>
          <w:szCs w:val="22"/>
          <w:u w:val="single"/>
        </w:rPr>
        <w:t xml:space="preserve">Criteria for legal persons: </w:t>
      </w:r>
      <w:r/>
    </w:p>
    <w:p>
      <w:pPr>
        <w:pStyle w:val="ListParagraph"/>
        <w:numPr>
          <w:ilvl w:val="0"/>
          <w:numId w:val="3"/>
        </w:numPr>
        <w:rPr>
          <w:sz w:val="22"/>
          <w:sz w:val="22"/>
          <w:szCs w:val="22"/>
        </w:rPr>
      </w:pPr>
      <w:r>
        <w:rPr>
          <w:sz w:val="22"/>
          <w:szCs w:val="22"/>
        </w:rPr>
        <w:t xml:space="preserve">at least </w:t>
      </w:r>
      <w:r>
        <w:rPr>
          <w:b/>
          <w:sz w:val="22"/>
          <w:szCs w:val="22"/>
        </w:rPr>
        <w:t>1 staff</w:t>
      </w:r>
      <w:r>
        <w:rPr>
          <w:sz w:val="22"/>
          <w:szCs w:val="22"/>
        </w:rPr>
        <w:t xml:space="preserve"> currently work for the tenderer in fields related to this contract; </w:t>
      </w:r>
      <w:r/>
    </w:p>
    <w:p>
      <w:pPr>
        <w:pStyle w:val="Blockquote"/>
        <w:ind w:left="1134" w:right="360" w:hanging="0"/>
        <w:rPr>
          <w:sz w:val="22"/>
          <w:u w:val="single"/>
          <w:sz w:val="22"/>
          <w:szCs w:val="22"/>
        </w:rPr>
      </w:pPr>
      <w:r>
        <w:rPr>
          <w:sz w:val="22"/>
          <w:szCs w:val="22"/>
          <w:u w:val="single"/>
        </w:rPr>
        <w:t xml:space="preserve">Criteria for natural persons: </w:t>
      </w:r>
      <w:r/>
    </w:p>
    <w:p>
      <w:pPr>
        <w:pStyle w:val="ListParagraph"/>
        <w:numPr>
          <w:ilvl w:val="0"/>
          <w:numId w:val="3"/>
        </w:numPr>
        <w:rPr>
          <w:sz w:val="22"/>
          <w:sz w:val="22"/>
          <w:szCs w:val="22"/>
        </w:rPr>
      </w:pPr>
      <w:r>
        <w:rPr>
          <w:sz w:val="22"/>
          <w:szCs w:val="22"/>
        </w:rPr>
        <w:t>is currently working as manager/team-leader or collaborator in fields related to this contract.</w:t>
      </w:r>
      <w:r/>
    </w:p>
    <w:p>
      <w:pPr>
        <w:pStyle w:val="Blockquote"/>
        <w:ind w:left="830" w:right="-48" w:hanging="284"/>
        <w:jc w:val="both"/>
        <w:rPr>
          <w:sz w:val="22"/>
          <w:sz w:val="22"/>
          <w:szCs w:val="22"/>
          <w:lang w:val="en-GB"/>
        </w:rPr>
      </w:pPr>
      <w:r>
        <w:rPr>
          <w:b/>
          <w:sz w:val="22"/>
          <w:szCs w:val="22"/>
          <w:lang w:val="en-GB"/>
        </w:rPr>
        <w:t>3)</w:t>
        <w:tab/>
      </w:r>
      <w:r>
        <w:rPr>
          <w:b/>
          <w:sz w:val="22"/>
          <w:szCs w:val="22"/>
          <w:u w:val="single"/>
          <w:lang w:val="en-GB"/>
        </w:rPr>
        <w:t xml:space="preserve">Technical capacity </w:t>
      </w:r>
      <w:r>
        <w:rPr>
          <w:sz w:val="22"/>
          <w:szCs w:val="22"/>
          <w:lang w:val="en-GB"/>
        </w:rPr>
        <w:t>(based on items 5 and 6 of the application form for service contracts and on items 5 and 6 of the tender form for supply contracts). The reference period which will be taken into account will be the last three years from submission deadline.</w:t>
      </w:r>
      <w:r/>
    </w:p>
    <w:p>
      <w:pPr>
        <w:pStyle w:val="Normal"/>
        <w:spacing w:before="240" w:after="0"/>
        <w:ind w:left="426" w:right="-48" w:hanging="0"/>
        <w:jc w:val="both"/>
        <w:rPr>
          <w:sz w:val="22"/>
          <w:sz w:val="22"/>
          <w:szCs w:val="22"/>
          <w:lang w:val="en-GB"/>
        </w:rPr>
      </w:pPr>
      <w:r>
        <w:rPr>
          <w:sz w:val="22"/>
          <w:szCs w:val="22"/>
          <w:lang w:val="en-GB"/>
        </w:rPr>
        <w:t xml:space="preserve">The candidate has provided services or supplies under at least </w:t>
      </w:r>
      <w:r>
        <w:rPr>
          <w:b/>
          <w:sz w:val="22"/>
          <w:szCs w:val="22"/>
          <w:lang w:val="en-GB"/>
        </w:rPr>
        <w:t>1 contract</w:t>
      </w:r>
      <w:r>
        <w:rPr>
          <w:sz w:val="22"/>
          <w:szCs w:val="22"/>
          <w:lang w:val="en-GB"/>
        </w:rPr>
        <w:t xml:space="preserve"> with a budget of at least </w:t>
      </w:r>
      <w:r>
        <w:rPr>
          <w:b/>
          <w:sz w:val="22"/>
          <w:szCs w:val="22"/>
          <w:lang w:val="en-GB"/>
        </w:rPr>
        <w:t>equal or greater</w:t>
      </w:r>
      <w:r>
        <w:rPr>
          <w:sz w:val="22"/>
          <w:szCs w:val="22"/>
          <w:lang w:val="en-GB"/>
        </w:rPr>
        <w:t xml:space="preserve"> than its Financial offer in in the fields similar related to this contract which was implemented at any moment during the reference period: </w:t>
      </w:r>
      <w:r>
        <w:rPr>
          <w:b/>
          <w:sz w:val="22"/>
          <w:szCs w:val="22"/>
          <w:lang w:val="en-GB"/>
        </w:rPr>
        <w:t>3 years</w:t>
      </w:r>
      <w:r>
        <w:rPr>
          <w:sz w:val="22"/>
          <w:szCs w:val="22"/>
          <w:lang w:val="en-GB"/>
        </w:rPr>
        <w:t xml:space="preserve"> from the submission deadline. </w:t>
      </w:r>
      <w:r/>
    </w:p>
    <w:p>
      <w:pPr>
        <w:pStyle w:val="Normal"/>
        <w:spacing w:before="240" w:after="0"/>
        <w:ind w:left="426" w:right="-48" w:hanging="0"/>
        <w:jc w:val="both"/>
        <w:rPr>
          <w:sz w:val="22"/>
          <w:sz w:val="22"/>
          <w:szCs w:val="22"/>
          <w:lang w:val="en-GB"/>
        </w:rPr>
      </w:pPr>
      <w:r>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r/>
    </w:p>
    <w:p>
      <w:pPr>
        <w:pStyle w:val="Blockquote"/>
        <w:ind w:left="480" w:right="360" w:hanging="0"/>
        <w:jc w:val="both"/>
        <w:rPr>
          <w:sz w:val="22"/>
          <w:sz w:val="22"/>
          <w:szCs w:val="22"/>
          <w:lang w:val="en-GB"/>
        </w:rPr>
      </w:pPr>
      <w:r>
        <w:rPr>
          <w:sz w:val="22"/>
          <w:szCs w:val="22"/>
          <w:lang w:val="en-GB"/>
        </w:rPr>
        <w:t>Capacity-providing entities</w:t>
      </w:r>
      <w:r/>
    </w:p>
    <w:p>
      <w:pPr>
        <w:pStyle w:val="Blockquote"/>
        <w:ind w:left="480" w:right="360" w:hanging="0"/>
        <w:jc w:val="both"/>
        <w:rPr>
          <w:sz w:val="22"/>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w:t>
      </w:r>
      <w:r>
        <w:rPr>
          <w:sz w:val="22"/>
          <w:szCs w:val="22"/>
        </w:rPr>
        <w:t xml:space="preserve">, for instance the parent company of the economic operator, </w:t>
      </w:r>
      <w:r>
        <w:rPr>
          <w:sz w:val="22"/>
          <w:szCs w:val="22"/>
          <w:lang w:val="en-GB"/>
        </w:rPr>
        <w:t>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r/>
    </w:p>
    <w:p>
      <w:pPr>
        <w:pStyle w:val="Blockquote"/>
        <w:ind w:left="480" w:right="360" w:hanging="0"/>
        <w:jc w:val="both"/>
        <w:rPr>
          <w:sz w:val="22"/>
          <w:sz w:val="22"/>
          <w:szCs w:val="22"/>
          <w:lang w:val="en-GB"/>
        </w:rPr>
      </w:pPr>
      <w:r>
        <w:rPr>
          <w:sz w:val="22"/>
          <w:szCs w:val="22"/>
          <w:lang w:val="en-GB"/>
        </w:rPr>
        <w:t>With regard to technical and professional criteria, an economic operator may only rely on the capacities of other entities where the latter will perform the tasks for which these capacities are required.</w:t>
      </w:r>
      <w:r>
        <w:rPr>
          <w:sz w:val="22"/>
          <w:lang w:val="en-GB"/>
        </w:rPr>
        <w:t xml:space="preserve"> </w:t>
      </w:r>
      <w:r/>
    </w:p>
    <w:p>
      <w:pPr>
        <w:pStyle w:val="Blockquote"/>
        <w:ind w:left="480" w:right="360" w:hanging="0"/>
        <w:jc w:val="both"/>
        <w:rPr>
          <w:sz w:val="22"/>
          <w:sz w:val="22"/>
          <w:szCs w:val="22"/>
          <w:lang w:val="en-GB"/>
        </w:rPr>
      </w:pPr>
      <w:r>
        <w:rPr>
          <w:sz w:val="22"/>
          <w:szCs w:val="22"/>
          <w:lang w:val="en-GB"/>
        </w:rPr>
        <w:t>With regard to economic and financial criteria, the entities upon whose capacity the economic operator relies, become jointly and severally liable for the performance of the contract.</w:t>
      </w:r>
      <w:r/>
    </w:p>
    <w:p>
      <w:pPr>
        <w:pStyle w:val="PRAGHeading2"/>
        <w:numPr>
          <w:ilvl w:val="0"/>
          <w:numId w:val="1"/>
        </w:numPr>
        <w:ind w:left="426" w:hanging="426"/>
        <w:rPr>
          <w:sz w:val="22"/>
          <w:sz w:val="22"/>
          <w:szCs w:val="22"/>
          <w:lang w:val="en-GB"/>
        </w:rPr>
      </w:pPr>
      <w:r>
        <w:rPr>
          <w:rStyle w:val="Strong"/>
          <w:sz w:val="22"/>
          <w:szCs w:val="22"/>
          <w:lang w:val="en-GB"/>
        </w:rPr>
        <w:t>Award criteria</w:t>
      </w:r>
      <w:r/>
    </w:p>
    <w:p>
      <w:pPr>
        <w:pStyle w:val="Blockquote"/>
        <w:ind w:left="426" w:right="360" w:hanging="0"/>
        <w:rPr>
          <w:sz w:val="22"/>
          <w:sz w:val="22"/>
          <w:szCs w:val="22"/>
          <w:lang w:val="en-GB"/>
        </w:rPr>
      </w:pPr>
      <w:r>
        <w:rPr>
          <w:sz w:val="22"/>
          <w:szCs w:val="22"/>
          <w:lang w:val="en-GB"/>
        </w:rPr>
        <w:t xml:space="preserve"> </w:t>
      </w:r>
      <w:r>
        <w:rPr>
          <w:sz w:val="22"/>
          <w:szCs w:val="22"/>
          <w:lang w:val="en-GB"/>
        </w:rPr>
        <w:t xml:space="preserve">Price </w:t>
      </w:r>
      <w:r/>
    </w:p>
    <w:p>
      <w:pPr>
        <w:pStyle w:val="Normal"/>
        <w:rPr>
          <w:sz w:val="22"/>
          <w:sz w:val="22"/>
          <w:szCs w:val="22"/>
          <w:rFonts w:ascii="Times New Roman" w:hAnsi="Times New Roman" w:eastAsia="Times New Roman" w:cs="Times New Roman"/>
          <w:color w:val="00000A"/>
          <w:lang w:val="en-GB" w:eastAsia="en-US" w:bidi="ar-SA"/>
        </w:rPr>
      </w:pPr>
      <w:r>
        <w:rPr>
          <w:rFonts w:eastAsia="Times New Roman" w:cs="Times New Roman"/>
          <w:color w:val="00000A"/>
          <w:sz w:val="22"/>
          <w:szCs w:val="22"/>
          <w:lang w:val="en-GB" w:eastAsia="en-US" w:bidi="ar-SA"/>
        </w:rPr>
        <mc:AlternateContent>
          <mc:Choice Requires="wps">
            <w:drawing>
              <wp:anchor behindDoc="0" distT="0" distB="0" distL="114300" distR="114300" simplePos="0" locked="0" layoutInCell="1" allowOverlap="1" relativeHeight="3">
                <wp:simplePos x="0" y="0"/>
                <wp:positionH relativeFrom="column">
                  <wp:posOffset>0</wp:posOffset>
                </wp:positionH>
                <wp:positionV relativeFrom="paragraph">
                  <wp:posOffset>153035</wp:posOffset>
                </wp:positionV>
                <wp:extent cx="5946775" cy="1270"/>
                <wp:effectExtent l="0" t="0" r="0" b="0"/>
                <wp:wrapNone/>
                <wp:docPr id="2" name="Straight Connector 6"/>
                <a:graphic xmlns:a="http://schemas.openxmlformats.org/drawingml/2006/main">
                  <a:graphicData uri="http://schemas.microsoft.com/office/word/2010/wordprocessingShape">
                    <wps:wsp>
                      <wps:cNvSpPr/>
                      <wps:spPr>
                        <a:xfrm>
                          <a:off x="0" y="0"/>
                          <a:ext cx="5946120" cy="0"/>
                        </a:xfrm>
                        <a:prstGeom prst="line">
                          <a:avLst/>
                        </a:prstGeom>
                        <a:ln w="22320">
                          <a:solidFill>
                            <a:srgbClr val="d4d4d4"/>
                          </a:solidFill>
                          <a:round/>
                        </a:ln>
                      </wps:spPr>
                      <wps:bodyPr/>
                    </wps:wsp>
                  </a:graphicData>
                </a:graphic>
              </wp:anchor>
            </w:drawing>
          </mc:Choice>
          <mc:Fallback>
            <w:pict>
              <v:line id="shape_0" from="0pt,12.05pt" to="468.15pt,12.05pt" ID="Straight Connector 6" stroked="t" style="position:absolute">
                <v:stroke color="#d4d4d4" weight="22320" joinstyle="round" endcap="flat"/>
                <v:fill on="false" o:detectmouseclick="t"/>
              </v:line>
            </w:pict>
          </mc:Fallback>
        </mc:AlternateContent>
      </w:r>
      <w:r/>
    </w:p>
    <w:p>
      <w:pPr>
        <w:pStyle w:val="PRAGHeading2"/>
        <w:numPr>
          <w:ilvl w:val="0"/>
          <w:numId w:val="0"/>
        </w:numPr>
        <w:spacing w:before="100" w:after="240"/>
        <w:ind w:left="284" w:hanging="0"/>
        <w:jc w:val="center"/>
        <w:rPr>
          <w:sz w:val="22"/>
          <w:sz w:val="22"/>
          <w:szCs w:val="22"/>
          <w:lang w:val="en-GB"/>
        </w:rPr>
      </w:pPr>
      <w:r>
        <w:rPr>
          <w:rStyle w:val="Strong"/>
          <w:sz w:val="22"/>
          <w:szCs w:val="22"/>
          <w:lang w:val="en-GB"/>
        </w:rPr>
        <w:t>APPLICATION AND TENDERING</w:t>
      </w:r>
      <w:r/>
    </w:p>
    <w:p>
      <w:pPr>
        <w:pStyle w:val="PRAGHeading2"/>
        <w:numPr>
          <w:ilvl w:val="0"/>
          <w:numId w:val="1"/>
        </w:numPr>
        <w:ind w:left="426" w:hanging="426"/>
        <w:jc w:val="both"/>
        <w:rPr>
          <w:sz w:val="22"/>
          <w:sz w:val="22"/>
          <w:szCs w:val="22"/>
          <w:lang w:val="en-GB"/>
        </w:rPr>
      </w:pPr>
      <w:r>
        <w:rPr>
          <w:rStyle w:val="Strong"/>
          <w:sz w:val="22"/>
          <w:szCs w:val="22"/>
          <w:lang w:val="en-GB"/>
        </w:rPr>
        <w:t>How to obtain the tender dossier</w:t>
      </w:r>
      <w:r/>
    </w:p>
    <w:p>
      <w:pPr>
        <w:pStyle w:val="Blockquote"/>
        <w:ind w:left="426" w:right="-48" w:hanging="0"/>
        <w:jc w:val="both"/>
      </w:pPr>
      <w:r>
        <w:rPr>
          <w:sz w:val="22"/>
          <w:szCs w:val="22"/>
          <w:lang w:val="en-GB"/>
        </w:rPr>
        <w:t>The tender dossier is available from the following Internet address: https://www.ipacbc-bgrs.eu/tenders and https://www.babusnica.rs/</w:t>
      </w:r>
      <w:r/>
    </w:p>
    <w:p>
      <w:pPr>
        <w:pStyle w:val="Blockquote"/>
        <w:ind w:left="426" w:right="-48" w:hanging="0"/>
        <w:jc w:val="both"/>
        <w:rPr>
          <w:sz w:val="22"/>
          <w:sz w:val="22"/>
          <w:szCs w:val="22"/>
          <w:lang w:val="en-GB"/>
        </w:rPr>
      </w:pPr>
      <w:r>
        <w:rPr>
          <w:sz w:val="22"/>
          <w:szCs w:val="22"/>
          <w:lang w:val="en-GB"/>
        </w:rPr>
        <w:t>The tender dossier is also available from the Contracting Authority.</w:t>
      </w:r>
      <w:r/>
    </w:p>
    <w:p>
      <w:pPr>
        <w:pStyle w:val="Blockquote"/>
        <w:ind w:left="426" w:right="-48" w:hanging="0"/>
        <w:jc w:val="both"/>
        <w:rPr>
          <w:sz w:val="22"/>
          <w:sz w:val="22"/>
          <w:szCs w:val="22"/>
          <w:lang w:val="en-GB"/>
        </w:rPr>
      </w:pPr>
      <w:r>
        <w:rPr>
          <w:sz w:val="22"/>
          <w:szCs w:val="22"/>
          <w:lang w:val="en-GB"/>
        </w:rPr>
        <w:t>Tenders must be submitted using the standard tender form included in the tender dossier, whose format and instructions must be strictly observed.</w:t>
      </w:r>
      <w:r/>
    </w:p>
    <w:p>
      <w:pPr>
        <w:pStyle w:val="PRAGHeading2"/>
        <w:numPr>
          <w:ilvl w:val="0"/>
          <w:numId w:val="0"/>
        </w:numPr>
        <w:ind w:left="426" w:hanging="0"/>
        <w:jc w:val="both"/>
      </w:pPr>
      <w:r>
        <w:rPr>
          <w:sz w:val="22"/>
          <w:szCs w:val="22"/>
          <w:lang w:val="en-GB"/>
        </w:rPr>
        <w:t xml:space="preserve">Tenderers with questions regarding this tender should send them in writing Municiplity of Babusnica, Ratka Pavlovica 1, 18330 Babusnica, Republic of Serbia; E-mail: </w:t>
      </w:r>
      <w:r>
        <w:rPr>
          <w:sz w:val="22"/>
          <w:szCs w:val="22"/>
          <w:lang w:val="en-GB"/>
        </w:rPr>
        <w:t>stefanovicnatasa84@gmail.com</w:t>
      </w:r>
      <w:r>
        <w:rPr>
          <w:sz w:val="22"/>
          <w:szCs w:val="22"/>
          <w:lang w:val="en-GB"/>
        </w:rPr>
        <w:t xml:space="preserve"> (mentioning the publication reference shown in item 1) at least 21 days before the deadline for submission of tenders given in item ‘</w:t>
      </w:r>
      <w:r>
        <w:rPr>
          <w:rStyle w:val="Strong"/>
          <w:b w:val="false"/>
          <w:sz w:val="22"/>
          <w:szCs w:val="22"/>
          <w:lang w:val="en-GB"/>
        </w:rPr>
        <w:t>Deadline for submission of applications or tenders’</w:t>
      </w:r>
      <w:r>
        <w:rPr>
          <w:sz w:val="22"/>
          <w:szCs w:val="22"/>
          <w:lang w:val="en-GB"/>
        </w:rPr>
        <w:t>. The contracting authority must reply to all tenderers' questions at least 11 days before the deadline for submission of tenders. Possible clarifications or minor changes to the tender dossier shall be published at the latest 11 days before the submission deadline on the following Internet address: https://www.ipacbc-bgrs.eu/tenders and https://www.babusnica.rs/</w:t>
      </w:r>
      <w:r/>
    </w:p>
    <w:p>
      <w:pPr>
        <w:pStyle w:val="PRAGHeading2"/>
        <w:numPr>
          <w:ilvl w:val="0"/>
          <w:numId w:val="1"/>
        </w:numPr>
        <w:ind w:left="426" w:hanging="426"/>
        <w:rPr>
          <w:sz w:val="22"/>
          <w:sz w:val="22"/>
          <w:szCs w:val="22"/>
          <w:lang w:val="en-GB"/>
        </w:rPr>
      </w:pPr>
      <w:r>
        <w:rPr>
          <w:rStyle w:val="Strong"/>
          <w:sz w:val="22"/>
          <w:szCs w:val="22"/>
          <w:lang w:val="en-GB"/>
        </w:rPr>
        <w:t>Tender opening session</w:t>
      </w:r>
      <w:r/>
    </w:p>
    <w:p>
      <w:pPr>
        <w:pStyle w:val="PRAGHeading2"/>
        <w:numPr>
          <w:ilvl w:val="0"/>
          <w:numId w:val="0"/>
        </w:numPr>
        <w:ind w:left="426" w:hanging="0"/>
        <w:jc w:val="both"/>
      </w:pPr>
      <w:r>
        <w:rPr>
          <w:sz w:val="22"/>
          <w:szCs w:val="22"/>
          <w:lang w:val="en-GB"/>
        </w:rPr>
        <w:t xml:space="preserve"> </w:t>
      </w:r>
      <w:r>
        <w:rPr>
          <w:sz w:val="22"/>
          <w:szCs w:val="22"/>
          <w:lang w:val="en-GB"/>
        </w:rPr>
        <w:t>-16.07.2021. at  14.30 hours - Municiplity of Babusnica, Ratka Pavlovica 1, 18330 Babusnica, Republic of Serbia;</w:t>
      </w:r>
      <w:r/>
    </w:p>
    <w:p>
      <w:pPr>
        <w:pStyle w:val="PRAGHeading2"/>
        <w:numPr>
          <w:ilvl w:val="0"/>
          <w:numId w:val="1"/>
        </w:numPr>
        <w:ind w:left="426" w:hanging="426"/>
        <w:jc w:val="both"/>
        <w:rPr>
          <w:sz w:val="22"/>
          <w:sz w:val="22"/>
          <w:szCs w:val="22"/>
          <w:lang w:val="en-GB"/>
        </w:rPr>
      </w:pPr>
      <w:r>
        <w:rPr>
          <w:rStyle w:val="Strong"/>
          <w:sz w:val="22"/>
          <w:szCs w:val="22"/>
          <w:lang w:val="en-GB"/>
        </w:rPr>
        <w:t xml:space="preserve">How applications may be submitted </w:t>
      </w:r>
      <w:r/>
    </w:p>
    <w:p>
      <w:pPr>
        <w:pStyle w:val="Normal"/>
        <w:ind w:left="426" w:hanging="0"/>
        <w:jc w:val="both"/>
        <w:rPr>
          <w:sz w:val="22"/>
          <w:sz w:val="22"/>
          <w:szCs w:val="22"/>
          <w:lang w:val="en-GB"/>
        </w:rPr>
      </w:pPr>
      <w:r>
        <w:rPr>
          <w:sz w:val="22"/>
          <w:szCs w:val="22"/>
          <w:lang w:val="en-GB"/>
        </w:rPr>
        <w:t>Applications must be submitted in English exclusively to the contracting authority in a sealed envelope.</w:t>
      </w:r>
      <w:r/>
    </w:p>
    <w:p>
      <w:pPr>
        <w:pStyle w:val="Normal"/>
        <w:numPr>
          <w:ilvl w:val="0"/>
          <w:numId w:val="2"/>
        </w:numPr>
        <w:rPr>
          <w:sz w:val="22"/>
          <w:sz w:val="22"/>
          <w:szCs w:val="22"/>
          <w:lang w:val="en-GB"/>
        </w:rPr>
      </w:pPr>
      <w:r>
        <w:rPr>
          <w:sz w:val="22"/>
          <w:szCs w:val="22"/>
          <w:lang w:val="en-GB"/>
        </w:rPr>
        <w:t xml:space="preserve">Either by post or by courier service, in which case the evidence shall be constituted by the postmark or the date of the deposit slip, to: </w:t>
      </w:r>
      <w:r/>
    </w:p>
    <w:p>
      <w:pPr>
        <w:pStyle w:val="PRAGHeading2"/>
        <w:ind w:left="426" w:hanging="0"/>
        <w:jc w:val="both"/>
      </w:pPr>
      <w:r>
        <w:rPr>
          <w:sz w:val="22"/>
          <w:szCs w:val="22"/>
          <w:lang w:val="en-GB"/>
        </w:rPr>
        <w:t xml:space="preserve">      </w:t>
      </w:r>
      <w:r>
        <w:rPr>
          <w:sz w:val="22"/>
          <w:szCs w:val="22"/>
          <w:lang w:val="en-GB"/>
        </w:rPr>
        <w:t>Municiplity of Babusnica, Ratka Pavlovica 1, 18330 Babusnica, Republic of Serbia;</w:t>
      </w:r>
      <w:r/>
    </w:p>
    <w:p>
      <w:pPr>
        <w:pStyle w:val="Normal"/>
        <w:numPr>
          <w:ilvl w:val="0"/>
          <w:numId w:val="2"/>
        </w:numPr>
        <w:rPr>
          <w:sz w:val="22"/>
          <w:sz w:val="22"/>
          <w:szCs w:val="22"/>
          <w:lang w:val="en-GB"/>
        </w:rPr>
      </w:pPr>
      <w:r>
        <w:rPr>
          <w:sz w:val="22"/>
          <w:szCs w:val="22"/>
          <w:lang w:val="en-GB"/>
        </w:rPr>
        <w:t>OR hand delivered by the participant in person or by an agent</w:t>
      </w:r>
      <w:r>
        <w:rPr/>
        <w:t xml:space="preserve"> directly</w:t>
      </w:r>
      <w:r>
        <w:rPr>
          <w:sz w:val="22"/>
          <w:szCs w:val="22"/>
          <w:lang w:val="en-GB"/>
        </w:rPr>
        <w:t xml:space="preserve"> to the premises of the contracting authority in return for a </w:t>
      </w:r>
      <w:r>
        <w:rPr/>
        <w:t>signed and dated receipt</w:t>
      </w:r>
      <w:r>
        <w:rPr>
          <w:sz w:val="22"/>
          <w:szCs w:val="22"/>
          <w:lang w:val="en-GB"/>
        </w:rPr>
        <w:t xml:space="preserve">, in which case the evidence shall be constituted by this acknowledgement of receipt, to: </w:t>
      </w:r>
      <w:r/>
    </w:p>
    <w:p>
      <w:pPr>
        <w:pStyle w:val="Blockquote"/>
        <w:jc w:val="center"/>
      </w:pPr>
      <w:r>
        <w:rPr>
          <w:sz w:val="22"/>
          <w:szCs w:val="22"/>
          <w:lang w:val="en-GB"/>
        </w:rPr>
        <w:t xml:space="preserve"> </w:t>
      </w:r>
      <w:r>
        <w:rPr>
          <w:sz w:val="22"/>
          <w:szCs w:val="22"/>
          <w:lang w:val="en-GB"/>
        </w:rPr>
        <w:t>Municiplity of Babusnica, Ratka Pavlovica 1, 18330 Babusnica, Republic of Serbia;</w:t>
      </w:r>
      <w:r/>
    </w:p>
    <w:p>
      <w:pPr>
        <w:pStyle w:val="Blockquote"/>
        <w:jc w:val="center"/>
      </w:pPr>
      <w:r>
        <w:rPr>
          <w:sz w:val="22"/>
          <w:szCs w:val="22"/>
          <w:lang w:val="en-GB"/>
        </w:rPr>
        <w:t>from 07:00 to 14.00h.</w:t>
      </w:r>
      <w:r/>
    </w:p>
    <w:p>
      <w:pPr>
        <w:pStyle w:val="Normal"/>
        <w:ind w:left="426" w:hanging="0"/>
        <w:jc w:val="both"/>
        <w:rPr>
          <w:sz w:val="22"/>
          <w:sz w:val="22"/>
          <w:szCs w:val="22"/>
          <w:lang w:val="en-GB"/>
        </w:rPr>
      </w:pPr>
      <w:r>
        <w:rPr>
          <w:sz w:val="22"/>
          <w:szCs w:val="22"/>
          <w:lang w:val="en-GB"/>
        </w:rPr>
        <w:t xml:space="preserve">The contract title and publication reference (see contract notice) must be clearly marked on the envelope containing the application and must always be mentioned in all subsequent correspondence with the contracting authority. </w:t>
      </w:r>
      <w:r/>
    </w:p>
    <w:p>
      <w:pPr>
        <w:pStyle w:val="Normal"/>
        <w:tabs>
          <w:tab w:val="left" w:pos="426" w:leader="none"/>
        </w:tabs>
        <w:ind w:left="426" w:hanging="0"/>
        <w:jc w:val="both"/>
        <w:rPr>
          <w:sz w:val="22"/>
          <w:sz w:val="22"/>
          <w:szCs w:val="22"/>
          <w:lang w:val="en-GB"/>
        </w:rPr>
      </w:pPr>
      <w:r>
        <w:rPr>
          <w:sz w:val="22"/>
          <w:szCs w:val="22"/>
          <w:lang w:val="en-GB"/>
        </w:rPr>
        <w:t xml:space="preserve">Applications submitted by any other means will not be considered. </w:t>
      </w:r>
      <w:r/>
    </w:p>
    <w:p>
      <w:pPr>
        <w:pStyle w:val="Normal"/>
        <w:tabs>
          <w:tab w:val="left" w:pos="426" w:leader="none"/>
        </w:tabs>
        <w:ind w:left="426" w:hanging="0"/>
        <w:jc w:val="both"/>
        <w:rPr>
          <w:sz w:val="22"/>
          <w:sz w:val="22"/>
          <w:szCs w:val="22"/>
          <w:lang w:val="en-GB"/>
        </w:rPr>
      </w:pPr>
      <w:r>
        <w:rPr>
          <w:sz w:val="22"/>
          <w:szCs w:val="22"/>
          <w:lang w:val="en-GB"/>
        </w:rPr>
        <w:t xml:space="preserve">By submitting an application candidates accept to receive notification of the outcome of the procedure by electronic means. Such notification shall be deemed to have been received on the date upon which the contracting authority sends it to the electronic address referred to in the application form. </w:t>
      </w:r>
      <w:r/>
    </w:p>
    <w:p>
      <w:pPr>
        <w:pStyle w:val="PRAGHeading2"/>
        <w:numPr>
          <w:ilvl w:val="0"/>
          <w:numId w:val="1"/>
        </w:numPr>
        <w:tabs>
          <w:tab w:val="left" w:pos="426" w:leader="none"/>
        </w:tabs>
        <w:ind w:hanging="567"/>
        <w:rPr>
          <w:sz w:val="22"/>
          <w:sz w:val="22"/>
          <w:lang w:val="en-GB"/>
        </w:rPr>
      </w:pPr>
      <w:r>
        <w:rPr>
          <w:rStyle w:val="Strong"/>
          <w:lang w:val="en-GB"/>
        </w:rPr>
        <w:t>Deadline for submission of applications</w:t>
      </w:r>
      <w:r/>
    </w:p>
    <w:p>
      <w:pPr>
        <w:pStyle w:val="Normal"/>
        <w:tabs>
          <w:tab w:val="left" w:pos="426" w:leader="none"/>
        </w:tabs>
        <w:ind w:left="426" w:hanging="0"/>
        <w:jc w:val="both"/>
        <w:rPr>
          <w:sz w:val="22"/>
          <w:sz w:val="22"/>
          <w:szCs w:val="22"/>
          <w:lang w:val="en-GB"/>
        </w:rPr>
      </w:pPr>
      <w:r>
        <w:rPr>
          <w:rStyle w:val="Emphasis"/>
          <w:i w:val="false"/>
          <w:iCs/>
          <w:sz w:val="22"/>
          <w:szCs w:val="22"/>
          <w:lang w:val="en-GB"/>
        </w:rPr>
        <w:t xml:space="preserve">The candidate’s attention is drawn to the fact that there are two different systems for sending applications: one is by post </w:t>
      </w:r>
      <w:r>
        <w:rPr>
          <w:sz w:val="22"/>
          <w:szCs w:val="22"/>
        </w:rPr>
        <w:t>or private mail service, the other is by hand delivery.</w:t>
      </w:r>
      <w:r/>
    </w:p>
    <w:p>
      <w:pPr>
        <w:pStyle w:val="Normal"/>
        <w:tabs>
          <w:tab w:val="left" w:pos="426" w:leader="none"/>
        </w:tabs>
        <w:ind w:left="426" w:hanging="0"/>
        <w:jc w:val="both"/>
        <w:rPr>
          <w:sz w:val="22"/>
          <w:i w:val="false"/>
          <w:sz w:val="22"/>
          <w:i w:val="false"/>
          <w:szCs w:val="22"/>
          <w:iCs/>
          <w:lang w:val="en-GB"/>
        </w:rPr>
      </w:pPr>
      <w:r>
        <w:rPr>
          <w:sz w:val="22"/>
          <w:szCs w:val="22"/>
        </w:rPr>
        <w:t>In the first case, the applicati</w:t>
      </w:r>
      <w:r>
        <w:rPr>
          <w:rStyle w:val="Emphasis"/>
          <w:i w:val="false"/>
          <w:iCs/>
          <w:sz w:val="22"/>
          <w:szCs w:val="22"/>
          <w:lang w:val="en-GB"/>
        </w:rPr>
        <w:t>on must be sent before the date and time limit for submission, as evidenced by the postmark or deposit slip</w:t>
      </w:r>
      <w:r>
        <w:rPr>
          <w:rStyle w:val="Emphasis"/>
          <w:rStyle w:val="FootnoteAnchor"/>
          <w:i w:val="false"/>
          <w:iCs/>
          <w:sz w:val="22"/>
          <w:szCs w:val="22"/>
          <w:lang w:val="en-GB"/>
        </w:rPr>
        <w:footnoteReference w:id="2"/>
      </w:r>
      <w:r>
        <w:rPr>
          <w:rStyle w:val="Emphasis"/>
          <w:i w:val="false"/>
          <w:iCs/>
          <w:sz w:val="22"/>
          <w:szCs w:val="22"/>
          <w:lang w:val="en-GB"/>
        </w:rPr>
        <w:t>, but in the second case it is the acknowledgment of receipt given at the time of the delivery of the application that will serve as proof.</w:t>
      </w:r>
      <w:r/>
    </w:p>
    <w:p>
      <w:pPr>
        <w:pStyle w:val="PRAGHeading2"/>
        <w:numPr>
          <w:ilvl w:val="0"/>
          <w:numId w:val="0"/>
        </w:numPr>
        <w:ind w:left="426" w:hanging="0"/>
        <w:jc w:val="both"/>
      </w:pPr>
      <w:r>
        <w:rPr>
          <w:sz w:val="22"/>
          <w:szCs w:val="22"/>
          <w:lang w:val="en-GB"/>
        </w:rPr>
        <w:t xml:space="preserve">The deadline for receiving applications is </w:t>
      </w:r>
      <w:r/>
    </w:p>
    <w:p>
      <w:pPr>
        <w:pStyle w:val="PRAGHeading2"/>
        <w:numPr>
          <w:ilvl w:val="0"/>
          <w:numId w:val="0"/>
        </w:numPr>
        <w:ind w:left="426" w:hanging="0"/>
        <w:jc w:val="both"/>
        <w:rPr>
          <w:sz w:val="22"/>
          <w:i w:val="false"/>
          <w:sz w:val="22"/>
          <w:i w:val="false"/>
          <w:szCs w:val="22"/>
          <w:iCs/>
          <w:lang w:val="en-GB"/>
        </w:rPr>
      </w:pPr>
      <w:r>
        <w:rPr>
          <w:rStyle w:val="Emphasis"/>
          <w:i w:val="false"/>
          <w:iCs/>
          <w:sz w:val="22"/>
          <w:szCs w:val="22"/>
          <w:lang w:val="en-GB"/>
        </w:rPr>
        <w:t>Any application sent to the contracting authority after this deadline will not be considered.</w:t>
      </w:r>
      <w:r/>
    </w:p>
    <w:p>
      <w:pPr>
        <w:pStyle w:val="PRAGHeading2"/>
        <w:numPr>
          <w:ilvl w:val="0"/>
          <w:numId w:val="0"/>
        </w:numPr>
        <w:ind w:left="426" w:hanging="0"/>
        <w:jc w:val="both"/>
        <w:rPr>
          <w:sz w:val="22"/>
          <w:i w:val="false"/>
          <w:b/>
          <w:sz w:val="22"/>
          <w:i w:val="false"/>
          <w:b/>
          <w:szCs w:val="22"/>
          <w:lang w:val="en-GB"/>
        </w:rPr>
      </w:pPr>
      <w:r>
        <w:rPr>
          <w:rStyle w:val="Emphasis"/>
          <w:i w:val="false"/>
          <w:iCs/>
          <w:sz w:val="22"/>
          <w:szCs w:val="22"/>
          <w:lang w:val="en-IE"/>
        </w:rPr>
        <w:t xml:space="preserve">The contracting authority may, for reasons of administrative efficiency, reject any application </w:t>
      </w:r>
      <w:r>
        <w:rPr>
          <w:rStyle w:val="Emphasis"/>
          <w:i w:val="false"/>
          <w:iCs/>
          <w:sz w:val="22"/>
          <w:szCs w:val="22"/>
          <w:lang w:val="en-GB"/>
        </w:rPr>
        <w:t>submitted</w:t>
      </w:r>
      <w:r>
        <w:rPr>
          <w:rStyle w:val="Emphasis"/>
          <w:i w:val="false"/>
          <w:iCs/>
          <w:sz w:val="22"/>
          <w:szCs w:val="22"/>
          <w:lang w:val="en-IE"/>
        </w:rPr>
        <w:t xml:space="preserve"> on time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r/>
    </w:p>
    <w:p>
      <w:pPr>
        <w:pStyle w:val="PRAGHeading2"/>
        <w:numPr>
          <w:ilvl w:val="0"/>
          <w:numId w:val="1"/>
        </w:numPr>
        <w:tabs>
          <w:tab w:val="left" w:pos="426" w:leader="none"/>
        </w:tabs>
        <w:ind w:hanging="567"/>
        <w:rPr>
          <w:sz w:val="22"/>
          <w:sz w:val="22"/>
          <w:szCs w:val="22"/>
          <w:lang w:val="en-GB"/>
        </w:rPr>
      </w:pPr>
      <w:r>
        <w:rPr>
          <w:rStyle w:val="Strong"/>
          <w:lang w:val="en-GB"/>
        </w:rPr>
        <w:t>Clarifications</w:t>
      </w:r>
      <w:r>
        <w:rPr>
          <w:rStyle w:val="Strong"/>
          <w:sz w:val="22"/>
          <w:szCs w:val="22"/>
          <w:lang w:val="en-GB"/>
        </w:rPr>
        <w:t xml:space="preserve"> on the contract notice</w:t>
      </w:r>
      <w:r/>
    </w:p>
    <w:p>
      <w:pPr>
        <w:pStyle w:val="PRAGHeading2"/>
        <w:numPr>
          <w:ilvl w:val="0"/>
          <w:numId w:val="0"/>
        </w:numPr>
        <w:ind w:left="426" w:hanging="0"/>
        <w:jc w:val="both"/>
        <w:rPr>
          <w:sz w:val="22"/>
          <w:sz w:val="22"/>
          <w:szCs w:val="22"/>
          <w:lang w:val="en-GB"/>
        </w:rPr>
      </w:pPr>
      <w:r>
        <w:rPr>
          <w:sz w:val="22"/>
          <w:szCs w:val="22"/>
          <w:lang w:val="en-GB"/>
        </w:rPr>
        <w:t>Any request for additional information must be made in writing through the following email gimnazijadimgrad@mts.rs at the latest 21 days before the deadline for submission of applications.</w:t>
      </w:r>
      <w:r/>
    </w:p>
    <w:p>
      <w:pPr>
        <w:pStyle w:val="PRAGHeading2"/>
        <w:numPr>
          <w:ilvl w:val="0"/>
          <w:numId w:val="0"/>
        </w:numPr>
        <w:ind w:left="426" w:hanging="0"/>
        <w:jc w:val="both"/>
      </w:pPr>
      <w:r>
        <w:rPr>
          <w:sz w:val="22"/>
          <w:szCs w:val="22"/>
          <w:lang w:val="en-GB"/>
        </w:rPr>
        <w:t>Clarifications will be published on</w:t>
      </w:r>
      <w:r>
        <w:rPr>
          <w:lang w:val="en-IE"/>
        </w:rPr>
        <w:t xml:space="preserve"> </w:t>
      </w:r>
      <w:r>
        <w:rPr>
          <w:sz w:val="22"/>
          <w:szCs w:val="22"/>
          <w:lang w:val="en-IE"/>
        </w:rPr>
        <w:t xml:space="preserve">https://www.ipacbc-bgrs.eu/tenders and </w:t>
      </w:r>
      <w:hyperlink r:id="rId2">
        <w:r>
          <w:rPr>
            <w:rStyle w:val="InternetLink"/>
            <w:sz w:val="22"/>
            <w:szCs w:val="22"/>
            <w:lang w:val="en-IE"/>
          </w:rPr>
          <w:t>https://www.babusnica.rs</w:t>
        </w:r>
      </w:hyperlink>
      <w:r>
        <w:rPr>
          <w:sz w:val="22"/>
          <w:szCs w:val="22"/>
          <w:lang w:val="en-IE"/>
        </w:rPr>
        <w:t xml:space="preserve">  </w:t>
      </w:r>
      <w:r>
        <w:rPr>
          <w:sz w:val="22"/>
          <w:szCs w:val="22"/>
          <w:lang w:val="en-GB"/>
        </w:rPr>
        <w:t>at the latest 5 days before the deadline for the submission of applications.</w:t>
      </w:r>
      <w:r>
        <w:rPr/>
        <w:t xml:space="preserve"> </w:t>
      </w:r>
      <w:r>
        <w:rPr>
          <w:sz w:val="22"/>
          <w:szCs w:val="22"/>
          <w:lang w:val="en-GB"/>
        </w:rPr>
        <w:t>The website will be updated regularly and it is the applicant’s responsibility to check for updates and modifications during the submission period.</w:t>
      </w:r>
      <w:r/>
    </w:p>
    <w:p>
      <w:pPr>
        <w:pStyle w:val="PRAGHeading2"/>
        <w:numPr>
          <w:ilvl w:val="0"/>
          <w:numId w:val="1"/>
        </w:numPr>
        <w:ind w:left="426" w:hanging="426"/>
        <w:jc w:val="both"/>
        <w:rPr>
          <w:sz w:val="22"/>
          <w:sz w:val="22"/>
          <w:szCs w:val="22"/>
          <w:lang w:val="en-GB"/>
        </w:rPr>
      </w:pPr>
      <w:r>
        <w:rPr>
          <w:rStyle w:val="Strong"/>
          <w:sz w:val="22"/>
          <w:szCs w:val="22"/>
          <w:lang w:val="en-GB"/>
        </w:rPr>
        <w:t>Alteration or withdrawal of applications</w:t>
      </w:r>
      <w:r/>
    </w:p>
    <w:p>
      <w:pPr>
        <w:pStyle w:val="Normal"/>
        <w:ind w:left="426" w:hanging="0"/>
        <w:jc w:val="both"/>
        <w:rPr>
          <w:sz w:val="22"/>
          <w:sz w:val="22"/>
          <w:szCs w:val="22"/>
          <w:lang w:val="en-GB"/>
        </w:rPr>
      </w:pPr>
      <w:r>
        <w:rPr>
          <w:sz w:val="22"/>
          <w:szCs w:val="22"/>
          <w:lang w:val="en-GB"/>
        </w:rPr>
        <w:t xml:space="preserve">Applicants may alter or withdraw their applications by written notification prior to the deadline for submission of applications. No applications may be altered after this deadline. </w:t>
      </w:r>
      <w:r/>
    </w:p>
    <w:p>
      <w:pPr>
        <w:pStyle w:val="Normal"/>
        <w:ind w:left="426" w:hanging="0"/>
        <w:jc w:val="both"/>
        <w:rPr>
          <w:sz w:val="22"/>
          <w:sz w:val="22"/>
          <w:szCs w:val="22"/>
          <w:lang w:val="en-GB"/>
        </w:rPr>
      </w:pPr>
      <w:r>
        <w:rPr>
          <w:sz w:val="22"/>
          <w:szCs w:val="22"/>
          <w:lang w:val="en-GB"/>
        </w:rPr>
        <w:t>Any such notification of alteration or withdrawal shall be prepared and submitted in accordance with precedent item. The outer envelope (and the relevant inner envelope if used) must be marked ‘Alteration’ or ‘Withdrawal’ as appropriate.</w:t>
      </w:r>
      <w:r/>
    </w:p>
    <w:p>
      <w:pPr>
        <w:pStyle w:val="PRAGHeading2"/>
        <w:numPr>
          <w:ilvl w:val="0"/>
          <w:numId w:val="1"/>
        </w:numPr>
        <w:ind w:left="426" w:hanging="426"/>
        <w:rPr>
          <w:sz w:val="22"/>
          <w:sz w:val="22"/>
          <w:szCs w:val="22"/>
          <w:lang w:val="en-GB"/>
        </w:rPr>
      </w:pPr>
      <w:r>
        <w:rPr>
          <w:rStyle w:val="Strong"/>
          <w:sz w:val="22"/>
          <w:szCs w:val="22"/>
          <w:lang w:val="en-GB"/>
        </w:rPr>
        <w:t>Language of the procedure</w:t>
      </w:r>
      <w:r/>
    </w:p>
    <w:p>
      <w:pPr>
        <w:pStyle w:val="Normal"/>
        <w:ind w:left="426" w:hanging="0"/>
        <w:jc w:val="both"/>
        <w:rPr>
          <w:sz w:val="22"/>
          <w:sz w:val="22"/>
          <w:szCs w:val="22"/>
          <w:lang w:val="en-GB"/>
        </w:rPr>
      </w:pPr>
      <w:r>
        <w:rPr>
          <w:sz w:val="22"/>
          <w:szCs w:val="22"/>
          <w:lang w:val="en-GB"/>
        </w:rPr>
        <w:t xml:space="preserve">All written communications for this tender procedure and contract must be in English. </w:t>
      </w:r>
      <w:r/>
    </w:p>
    <w:p>
      <w:pPr>
        <w:pStyle w:val="Normal"/>
        <w:ind w:left="426" w:hanging="426"/>
        <w:rPr>
          <w:sz w:val="22"/>
          <w:b/>
          <w:sz w:val="22"/>
          <w:b/>
          <w:szCs w:val="22"/>
          <w:lang w:val="en-GB"/>
        </w:rPr>
      </w:pPr>
      <w:r>
        <w:rPr>
          <w:b/>
          <w:sz w:val="22"/>
          <w:szCs w:val="22"/>
          <w:lang w:val="en-GB"/>
        </w:rPr>
        <w:t>28.Legal basis</w:t>
      </w:r>
      <w:r/>
    </w:p>
    <w:p>
      <w:pPr>
        <w:pStyle w:val="Normal"/>
        <w:ind w:left="426" w:hanging="0"/>
        <w:jc w:val="both"/>
        <w:rPr>
          <w:sz w:val="22"/>
          <w:sz w:val="22"/>
          <w:szCs w:val="22"/>
          <w:lang w:val="en-GB"/>
        </w:rPr>
      </w:pPr>
      <w:r>
        <w:rPr>
          <w:sz w:val="22"/>
          <w:szCs w:val="22"/>
          <w:lang w:val="en-GB"/>
        </w:rPr>
        <w:t>Regulation</w:t>
      </w:r>
      <w:r>
        <w:rPr>
          <w:b/>
          <w:bCs/>
          <w:sz w:val="22"/>
          <w:szCs w:val="22"/>
          <w:lang w:val="en-GB"/>
        </w:rPr>
        <w:t xml:space="preserve"> </w:t>
      </w:r>
      <w:r>
        <w:rPr>
          <w:sz w:val="22"/>
          <w:szCs w:val="22"/>
          <w:lang w:val="en-GB"/>
        </w:rPr>
        <w:t>(EU) No </w:t>
      </w:r>
      <w:r>
        <w:rPr>
          <w:sz w:val="22"/>
          <w:szCs w:val="22"/>
          <w:lang w:val="en-GB" w:eastAsia="ja-JP"/>
        </w:rPr>
        <w:t>236/2014 of the European Parliament and of the Council of 11 March 2014 laying down common rules and procedures for the implementation of the Union's instruments for financing external action and IPA II</w:t>
      </w:r>
      <w:r/>
    </w:p>
    <w:p>
      <w:pPr>
        <w:pStyle w:val="Normal"/>
        <w:ind w:left="426" w:hanging="426"/>
        <w:rPr>
          <w:sz w:val="22"/>
          <w:b/>
          <w:sz w:val="22"/>
          <w:b/>
          <w:szCs w:val="22"/>
          <w:lang w:val="en-GB"/>
        </w:rPr>
      </w:pPr>
      <w:r>
        <w:rPr>
          <w:b/>
          <w:sz w:val="22"/>
          <w:szCs w:val="22"/>
          <w:lang w:val="en-GB"/>
        </w:rPr>
        <w:t>29.</w:t>
        <w:tab/>
        <w:t>Additional information</w:t>
      </w:r>
      <w:r/>
    </w:p>
    <w:p>
      <w:pPr>
        <w:pStyle w:val="Normal"/>
        <w:widowControl/>
        <w:spacing w:before="100" w:after="0"/>
        <w:ind w:left="426" w:right="360" w:hanging="0"/>
        <w:jc w:val="both"/>
      </w:pPr>
      <w:r>
        <w:rPr>
          <w:sz w:val="22"/>
          <w:szCs w:val="22"/>
          <w:lang w:val="en-GB"/>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EUR/RSD shall be made in accordance with the InforEuro exchange rate of </w:t>
      </w:r>
      <w:r>
        <w:rPr>
          <w:b/>
          <w:sz w:val="22"/>
          <w:szCs w:val="22"/>
          <w:lang w:val="en-GB"/>
        </w:rPr>
        <w:t xml:space="preserve">MONTH and YEAR </w:t>
      </w:r>
      <w:r>
        <w:rPr>
          <w:sz w:val="22"/>
          <w:szCs w:val="22"/>
          <w:lang w:val="en-GB"/>
        </w:rPr>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3">
        <w:r>
          <w:rPr>
            <w:rStyle w:val="InternetLink"/>
            <w:sz w:val="22"/>
            <w:szCs w:val="22"/>
            <w:lang w:val="en-GB"/>
          </w:rPr>
          <w:t>http://ec.europa.eu/budget/graphs/inforeuro.html</w:t>
        </w:r>
      </w:hyperlink>
      <w:r>
        <w:rPr>
          <w:sz w:val="22"/>
          <w:szCs w:val="22"/>
          <w:lang w:val="en-GB"/>
        </w:rPr>
        <w:t>.</w:t>
      </w:r>
      <w:r/>
    </w:p>
    <w:sectPr>
      <w:headerReference w:type="default" r:id="rId4"/>
      <w:footerReference w:type="default" r:id="rId5"/>
      <w:footnotePr>
        <w:numFmt w:val="decimal"/>
      </w:footnotePr>
      <w:type w:val="nextPage"/>
      <w:pgSz w:w="11906" w:h="16838"/>
      <w:pgMar w:left="1417" w:right="1417" w:header="708"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Minion Pro">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120" w:after="0"/>
      <w:rPr>
        <w:sz w:val="18"/>
        <w:b/>
        <w:sz w:val="18"/>
        <w:b/>
        <w:szCs w:val="18"/>
        <w:lang w:val="en-GB"/>
      </w:rPr>
    </w:pPr>
    <w:r>
      <w:rPr>
        <w:b/>
        <w:sz w:val="18"/>
        <w:szCs w:val="18"/>
        <w:lang w:val="en-GB"/>
      </w:rPr>
      <w:t>August</w:t>
    </w:r>
    <w:r>
      <w:rPr>
        <w:b/>
        <w:sz w:val="18"/>
        <w:szCs w:val="18"/>
      </w:rPr>
      <w:t xml:space="preserve"> 2020</w:t>
    </w:r>
    <w:r/>
  </w:p>
  <w:p>
    <w:pPr>
      <w:pStyle w:val="Footer"/>
      <w:rPr>
        <w:sz w:val="18"/>
        <w:sz w:val="18"/>
        <w:szCs w:val="18"/>
        <w:lang w:val="en-GB"/>
      </w:rPr>
    </w:pPr>
    <w:r>
      <w:rPr/>
      <w:fldChar w:fldCharType="begin"/>
    </w:r>
    <w:r>
      <w:instrText> FILENAME </w:instrText>
    </w:r>
    <w:r>
      <w:fldChar w:fldCharType="separate"/>
    </w:r>
    <w:r>
      <w:t>a5f_additional_information_contract_notice_en.docx</w:t>
    </w:r>
    <w:r>
      <w:fldChar w:fldCharType="end"/>
    </w:r>
    <w:r>
      <w:rPr>
        <w:sz w:val="18"/>
        <w:szCs w:val="18"/>
        <w:lang w:val="en-GB"/>
      </w:rPr>
      <w:tab/>
      <w:tab/>
      <w:t xml:space="preserve">Page </w:t>
    </w:r>
    <w:r>
      <w:rPr>
        <w:sz w:val="18"/>
        <w:szCs w:val="18"/>
        <w:lang w:val="en-GB"/>
      </w:rPr>
      <w:fldChar w:fldCharType="begin"/>
    </w:r>
    <w:r>
      <w:instrText> PAGE </w:instrText>
    </w:r>
    <w:r>
      <w:fldChar w:fldCharType="separate"/>
    </w:r>
    <w:r>
      <w:t>5</w:t>
    </w:r>
    <w:r>
      <w:fldChar w:fldCharType="end"/>
    </w:r>
    <w:r>
      <w:rPr>
        <w:sz w:val="18"/>
        <w:szCs w:val="18"/>
        <w:lang w:val="en-GB"/>
      </w:rPr>
      <w:t xml:space="preserve"> of </w:t>
    </w:r>
    <w:r>
      <w:rPr>
        <w:sz w:val="18"/>
        <w:szCs w:val="18"/>
        <w:lang w:val="en-GB"/>
      </w:rPr>
      <w:fldChar w:fldCharType="begin"/>
    </w:r>
    <w:r>
      <w:instrText> NUMPAGES </w:instrText>
    </w:r>
    <w:r>
      <w:fldChar w:fldCharType="separate"/>
    </w:r>
    <w:r>
      <w:t>5</w:t>
    </w:r>
    <w:r>
      <w:fldChar w:fldCharType="end"/>
    </w: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spacing w:before="100" w:after="100"/>
      </w:pPr>
      <w:r>
        <w:rPr>
          <w:rStyle w:val="Footnotereference"/>
        </w:rPr>
        <w:footnoteRef/>
        <w:tab/>
      </w:r>
      <w:r>
        <w:rPr/>
        <w:t xml:space="preserve"> </w:t>
      </w:r>
      <w:r>
        <w:rPr/>
        <w:t>It is recommended to use registered mail in case the postmark would not be readable.</w:t>
      </w: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567"/>
        </w:tabs>
        <w:ind w:left="567" w:hanging="0"/>
      </w:pPr>
      <w:rPr>
        <w:sz w:val="22"/>
        <w:i w:val="false"/>
        <w:b/>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1"/>
      <w:numFmt w:val="bullet"/>
      <w:lvlText w:val="-"/>
      <w:lvlJc w:val="left"/>
      <w:pPr>
        <w:ind w:left="1069" w:hanging="360"/>
      </w:pPr>
      <w:rPr>
        <w:rFonts w:ascii="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
    <w:lvl w:ilvl="0">
      <w:start w:val="1"/>
      <w:numFmt w:val="bullet"/>
      <w:lvlText w:val=""/>
      <w:lvlJc w:val="left"/>
      <w:pPr>
        <w:ind w:left="1134" w:hanging="360"/>
      </w:pPr>
      <w:rPr>
        <w:rFonts w:ascii="Symbol" w:hAnsi="Symbol" w:cs="Symbol" w:hint="default"/>
      </w:rPr>
    </w:lvl>
    <w:lvl w:ilvl="1">
      <w:start w:val="1"/>
      <w:numFmt w:val="bullet"/>
      <w:lvlText w:val="o"/>
      <w:lvlJc w:val="left"/>
      <w:pPr>
        <w:ind w:left="1854" w:hanging="360"/>
      </w:pPr>
      <w:rPr>
        <w:rFonts w:ascii="Courier New" w:hAnsi="Courier New" w:cs="Courier New" w:hint="default"/>
      </w:rPr>
    </w:lvl>
    <w:lvl w:ilvl="2">
      <w:start w:val="1"/>
      <w:numFmt w:val="bullet"/>
      <w:lvlText w:val=""/>
      <w:lvlJc w:val="left"/>
      <w:pPr>
        <w:ind w:left="2574" w:hanging="360"/>
      </w:pPr>
      <w:rPr>
        <w:rFonts w:ascii="Wingdings" w:hAnsi="Wingdings" w:cs="Wingdings" w:hint="default"/>
      </w:rPr>
    </w:lvl>
    <w:lvl w:ilvl="3">
      <w:start w:val="1"/>
      <w:numFmt w:val="bullet"/>
      <w:lvlText w:val=""/>
      <w:lvlJc w:val="left"/>
      <w:pPr>
        <w:ind w:left="3294" w:hanging="360"/>
      </w:pPr>
      <w:rPr>
        <w:rFonts w:ascii="Symbol" w:hAnsi="Symbol" w:cs="Symbol" w:hint="default"/>
      </w:rPr>
    </w:lvl>
    <w:lvl w:ilvl="4">
      <w:start w:val="1"/>
      <w:numFmt w:val="bullet"/>
      <w:lvlText w:val="o"/>
      <w:lvlJc w:val="left"/>
      <w:pPr>
        <w:ind w:left="4014" w:hanging="360"/>
      </w:pPr>
      <w:rPr>
        <w:rFonts w:ascii="Courier New" w:hAnsi="Courier New" w:cs="Courier New" w:hint="default"/>
      </w:rPr>
    </w:lvl>
    <w:lvl w:ilvl="5">
      <w:start w:val="1"/>
      <w:numFmt w:val="bullet"/>
      <w:lvlText w:val=""/>
      <w:lvlJc w:val="left"/>
      <w:pPr>
        <w:ind w:left="4734" w:hanging="360"/>
      </w:pPr>
      <w:rPr>
        <w:rFonts w:ascii="Wingdings" w:hAnsi="Wingdings" w:cs="Wingdings" w:hint="default"/>
      </w:rPr>
    </w:lvl>
    <w:lvl w:ilvl="6">
      <w:start w:val="1"/>
      <w:numFmt w:val="bullet"/>
      <w:lvlText w:val=""/>
      <w:lvlJc w:val="left"/>
      <w:pPr>
        <w:ind w:left="5454" w:hanging="360"/>
      </w:pPr>
      <w:rPr>
        <w:rFonts w:ascii="Symbol" w:hAnsi="Symbol" w:cs="Symbol" w:hint="default"/>
      </w:rPr>
    </w:lvl>
    <w:lvl w:ilvl="7">
      <w:start w:val="1"/>
      <w:numFmt w:val="bullet"/>
      <w:lvlText w:val="o"/>
      <w:lvlJc w:val="left"/>
      <w:pPr>
        <w:ind w:left="6174" w:hanging="360"/>
      </w:pPr>
      <w:rPr>
        <w:rFonts w:ascii="Courier New" w:hAnsi="Courier New" w:cs="Courier New" w:hint="default"/>
      </w:rPr>
    </w:lvl>
    <w:lvl w:ilvl="8">
      <w:start w:val="1"/>
      <w:numFmt w:val="bullet"/>
      <w:lvlText w:val=""/>
      <w:lvlJc w:val="left"/>
      <w:pPr>
        <w:ind w:left="6894"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spacing w:lineRule="auto" w:line="27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0"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uiPriority="0"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uiPriority="0"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0"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uiPriority="0"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ea6c7c"/>
    <w:pPr>
      <w:widowControl w:val="false"/>
      <w:suppressAutoHyphens w:val="true"/>
      <w:bidi w:val="0"/>
      <w:spacing w:lineRule="auto" w:line="240" w:before="100" w:after="100"/>
      <w:jc w:val="left"/>
    </w:pPr>
    <w:rPr>
      <w:rFonts w:ascii="Times New Roman" w:hAnsi="Times New Roman" w:eastAsia="Times New Roman" w:cs="Times New Roman"/>
      <w:color w:val="00000A"/>
      <w:sz w:val="24"/>
      <w:szCs w:val="20"/>
      <w:lang w:val="en-US" w:eastAsia="en-US" w:bidi="ar-SA"/>
    </w:rPr>
  </w:style>
  <w:style w:type="paragraph" w:styleId="Heading4">
    <w:name w:val="Heading 4"/>
    <w:basedOn w:val="Normal"/>
    <w:next w:val="Normal"/>
    <w:link w:val="Heading4Char"/>
    <w:autoRedefine/>
    <w:qFormat/>
    <w:rsid w:val="001916fc"/>
    <w:pPr>
      <w:widowControl/>
      <w:spacing w:before="120" w:after="120"/>
      <w:ind w:left="414" w:right="-48" w:hanging="0"/>
      <w:jc w:val="both"/>
      <w:outlineLvl w:val="3"/>
    </w:pPr>
    <w:rPr>
      <w:sz w:val="22"/>
      <w:szCs w:val="22"/>
      <w:lang w:val="en-GB"/>
    </w:rPr>
  </w:style>
  <w:style w:type="character" w:styleId="DefaultParagraphFont" w:default="1">
    <w:name w:val="Default Paragraph Font"/>
    <w:uiPriority w:val="1"/>
    <w:semiHidden/>
    <w:unhideWhenUsed/>
    <w:rPr/>
  </w:style>
  <w:style w:type="character" w:styleId="Emphasis">
    <w:name w:val="Emphasis"/>
    <w:uiPriority w:val="20"/>
    <w:qFormat/>
    <w:rsid w:val="00ea6c7c"/>
    <w:rPr>
      <w:i/>
      <w:iCs/>
    </w:rPr>
  </w:style>
  <w:style w:type="character" w:styleId="Strong">
    <w:name w:val="Strong"/>
    <w:uiPriority w:val="22"/>
    <w:qFormat/>
    <w:rsid w:val="00ea6c7c"/>
    <w:rPr>
      <w:b/>
    </w:rPr>
  </w:style>
  <w:style w:type="character" w:styleId="InternetLink">
    <w:name w:val="Internet Link"/>
    <w:rsid w:val="00ca6501"/>
    <w:rPr>
      <w:color w:val="0000FF"/>
      <w:u w:val="single"/>
      <w:lang w:val="zxx" w:eastAsia="zxx" w:bidi="zxx"/>
    </w:rPr>
  </w:style>
  <w:style w:type="character" w:styleId="FootnoteTextChar" w:customStyle="1">
    <w:name w:val="Footnote Text Char"/>
    <w:basedOn w:val="DefaultParagraphFont"/>
    <w:link w:val="FootnoteText"/>
    <w:uiPriority w:val="99"/>
    <w:semiHidden/>
    <w:rsid w:val="000a4362"/>
    <w:rPr>
      <w:rFonts w:ascii="Times New Roman" w:hAnsi="Times New Roman" w:eastAsia="Times New Roman" w:cs="Times New Roman"/>
      <w:sz w:val="20"/>
      <w:szCs w:val="20"/>
      <w:lang w:val="en-US"/>
    </w:rPr>
  </w:style>
  <w:style w:type="character" w:styleId="Footnotereference">
    <w:name w:val="footnote reference"/>
    <w:uiPriority w:val="99"/>
    <w:rsid w:val="000a4362"/>
    <w:rPr>
      <w:vertAlign w:val="superscript"/>
    </w:rPr>
  </w:style>
  <w:style w:type="character" w:styleId="HeaderChar" w:customStyle="1">
    <w:name w:val="Header Char"/>
    <w:basedOn w:val="DefaultParagraphFont"/>
    <w:link w:val="Header"/>
    <w:uiPriority w:val="99"/>
    <w:rsid w:val="00b2271a"/>
    <w:rPr>
      <w:rFonts w:ascii="Times New Roman" w:hAnsi="Times New Roman" w:eastAsia="Times New Roman" w:cs="Times New Roman"/>
      <w:sz w:val="24"/>
      <w:szCs w:val="20"/>
      <w:lang w:val="en-US"/>
    </w:rPr>
  </w:style>
  <w:style w:type="character" w:styleId="FooterChar" w:customStyle="1">
    <w:name w:val="Footer Char"/>
    <w:basedOn w:val="DefaultParagraphFont"/>
    <w:link w:val="Footer"/>
    <w:uiPriority w:val="99"/>
    <w:rsid w:val="00b2271a"/>
    <w:rPr>
      <w:rFonts w:ascii="Times New Roman" w:hAnsi="Times New Roman" w:eastAsia="Times New Roman" w:cs="Times New Roman"/>
      <w:sz w:val="24"/>
      <w:szCs w:val="20"/>
      <w:lang w:val="en-US"/>
    </w:rPr>
  </w:style>
  <w:style w:type="character" w:styleId="BalloonTextChar" w:customStyle="1">
    <w:name w:val="Balloon Text Char"/>
    <w:basedOn w:val="DefaultParagraphFont"/>
    <w:link w:val="BalloonText"/>
    <w:uiPriority w:val="99"/>
    <w:semiHidden/>
    <w:rsid w:val="009a3842"/>
    <w:rPr>
      <w:rFonts w:ascii="Tahoma" w:hAnsi="Tahoma" w:eastAsia="Times New Roman" w:cs="Tahoma"/>
      <w:sz w:val="16"/>
      <w:szCs w:val="16"/>
      <w:lang w:val="en-US"/>
    </w:rPr>
  </w:style>
  <w:style w:type="character" w:styleId="Annotationreference">
    <w:name w:val="annotation reference"/>
    <w:basedOn w:val="DefaultParagraphFont"/>
    <w:uiPriority w:val="99"/>
    <w:unhideWhenUsed/>
    <w:rsid w:val="00cc5dd2"/>
    <w:rPr>
      <w:sz w:val="16"/>
      <w:szCs w:val="16"/>
    </w:rPr>
  </w:style>
  <w:style w:type="character" w:styleId="CommentTextChar" w:customStyle="1">
    <w:name w:val="Comment Text Char"/>
    <w:basedOn w:val="DefaultParagraphFont"/>
    <w:link w:val="CommentText"/>
    <w:rsid w:val="00cc5dd2"/>
    <w:rPr>
      <w:rFonts w:ascii="Times New Roman" w:hAnsi="Times New Roman" w:eastAsia="Times New Roman" w:cs="Times New Roman"/>
      <w:sz w:val="20"/>
      <w:szCs w:val="20"/>
      <w:lang w:val="en-US"/>
    </w:rPr>
  </w:style>
  <w:style w:type="character" w:styleId="CommentSubjectChar" w:customStyle="1">
    <w:name w:val="Comment Subject Char"/>
    <w:basedOn w:val="CommentTextChar"/>
    <w:link w:val="CommentSubject"/>
    <w:uiPriority w:val="99"/>
    <w:semiHidden/>
    <w:rsid w:val="00cc5dd2"/>
    <w:rPr>
      <w:rFonts w:ascii="Times New Roman" w:hAnsi="Times New Roman" w:eastAsia="Times New Roman" w:cs="Times New Roman"/>
      <w:b/>
      <w:bCs/>
      <w:sz w:val="20"/>
      <w:szCs w:val="20"/>
      <w:lang w:val="en-US"/>
    </w:rPr>
  </w:style>
  <w:style w:type="character" w:styleId="Heading4Char" w:customStyle="1">
    <w:name w:val="Heading 4 Char"/>
    <w:basedOn w:val="DefaultParagraphFont"/>
    <w:link w:val="Heading4"/>
    <w:rsid w:val="001916fc"/>
    <w:rPr>
      <w:rFonts w:ascii="Times New Roman" w:hAnsi="Times New Roman" w:eastAsia="Times New Roman" w:cs="Times New Roman"/>
    </w:rPr>
  </w:style>
  <w:style w:type="character" w:styleId="Definition" w:customStyle="1">
    <w:name w:val="Definition"/>
    <w:rsid w:val="00e8713a"/>
    <w:rPr>
      <w:i/>
    </w:rPr>
  </w:style>
  <w:style w:type="character" w:styleId="FollowedHyperlink">
    <w:name w:val="FollowedHyperlink"/>
    <w:basedOn w:val="DefaultParagraphFont"/>
    <w:uiPriority w:val="99"/>
    <w:semiHidden/>
    <w:unhideWhenUsed/>
    <w:rsid w:val="00757d90"/>
    <w:rPr>
      <w:color w:val="800080" w:themeColor="followedHyperlink"/>
      <w:u w:val="single"/>
    </w:rPr>
  </w:style>
  <w:style w:type="character" w:styleId="SubtitleChar" w:customStyle="1">
    <w:name w:val="Subtitle Char"/>
    <w:basedOn w:val="DefaultParagraphFont"/>
    <w:link w:val="Subtitle"/>
    <w:rsid w:val="004759a5"/>
    <w:rPr>
      <w:rFonts w:ascii="Arial" w:hAnsi="Arial" w:eastAsia="Times New Roman" w:cs="Times New Roman"/>
      <w:b/>
      <w:sz w:val="28"/>
      <w:szCs w:val="20"/>
      <w:lang w:val="fr-BE"/>
    </w:rPr>
  </w:style>
  <w:style w:type="character" w:styleId="BodyTextChar" w:customStyle="1">
    <w:name w:val="Body Text Char"/>
    <w:basedOn w:val="DefaultParagraphFont"/>
    <w:link w:val="BodyText"/>
    <w:rsid w:val="006a0bb1"/>
    <w:rPr>
      <w:rFonts w:ascii="Times New Roman" w:hAnsi="Times New Roman" w:eastAsia="Times New Roman" w:cs="Times New Roman"/>
      <w:sz w:val="24"/>
      <w:szCs w:val="20"/>
      <w:lang w:eastAsia="en-GB"/>
    </w:rPr>
  </w:style>
  <w:style w:type="character" w:styleId="ListLabel1">
    <w:name w:val="ListLabel 1"/>
    <w:rPr>
      <w:rFonts w:cs="Courier New"/>
    </w:rPr>
  </w:style>
  <w:style w:type="character" w:styleId="ListLabel2">
    <w:name w:val="ListLabel 2"/>
    <w:rPr>
      <w:b/>
      <w:i w:val="false"/>
      <w:sz w:val="22"/>
      <w:szCs w:val="22"/>
    </w:rPr>
  </w:style>
  <w:style w:type="character" w:styleId="ListLabel3">
    <w:name w:val="ListLabel 3"/>
    <w:rPr>
      <w:rFonts w:cs="Old English Text MT"/>
      <w:b w:val="false"/>
      <w:i w:val="false"/>
      <w:sz w:val="22"/>
      <w:szCs w:val="24"/>
    </w:rPr>
  </w:style>
  <w:style w:type="character" w:styleId="ListLabel4">
    <w:name w:val="ListLabel 4"/>
    <w:rPr>
      <w:rFonts w:eastAsia="Times New Roman" w:cs="Times New Roman"/>
    </w:rPr>
  </w:style>
  <w:style w:type="character" w:styleId="ListLabel5">
    <w:name w:val="ListLabel 5"/>
    <w:rPr>
      <w:b w:val="false"/>
      <w:i w:val="false"/>
      <w:sz w:val="22"/>
      <w:szCs w:val="24"/>
    </w:rPr>
  </w:style>
  <w:style w:type="character" w:styleId="FootnoteAnchor">
    <w:name w:val="Footnote Anchor"/>
    <w:rPr>
      <w:vertAlign w:val="superscript"/>
    </w:rPr>
  </w:style>
  <w:style w:type="character" w:styleId="EndnoteAnchor">
    <w:name w:val="Endnote Anchor"/>
    <w:rPr>
      <w:vertAlign w:val="superscript"/>
    </w:rPr>
  </w:style>
  <w:style w:type="character" w:styleId="ListLabel6">
    <w:name w:val="ListLabel 6"/>
    <w:rPr>
      <w:b/>
      <w:i w:val="false"/>
      <w:sz w:val="22"/>
      <w:szCs w:val="22"/>
    </w:rPr>
  </w:style>
  <w:style w:type="character" w:styleId="ListLabel7">
    <w:name w:val="ListLabel 7"/>
    <w:rPr>
      <w:rFonts w:cs="Times New Roman"/>
    </w:rPr>
  </w:style>
  <w:style w:type="character" w:styleId="ListLabel8">
    <w:name w:val="ListLabel 8"/>
    <w:rPr>
      <w:rFonts w:cs="Courier New"/>
    </w:rPr>
  </w:style>
  <w:style w:type="character" w:styleId="ListLabel9">
    <w:name w:val="ListLabel 9"/>
    <w:rPr>
      <w:rFonts w:cs="Wingdings"/>
    </w:rPr>
  </w:style>
  <w:style w:type="character" w:styleId="ListLabel10">
    <w:name w:val="ListLabel 10"/>
    <w:rPr>
      <w:rFonts w:cs="Symbol"/>
    </w:rPr>
  </w:style>
  <w:style w:type="character" w:styleId="ListLabel11">
    <w:name w:val="ListLabel 11"/>
    <w:rPr>
      <w:b/>
      <w:i w:val="false"/>
      <w:sz w:val="22"/>
      <w:szCs w:val="22"/>
    </w:rPr>
  </w:style>
  <w:style w:type="character" w:styleId="ListLabel12">
    <w:name w:val="ListLabel 12"/>
    <w:rPr>
      <w:rFonts w:cs="Times New Roman"/>
    </w:rPr>
  </w:style>
  <w:style w:type="character" w:styleId="ListLabel13">
    <w:name w:val="ListLabel 13"/>
    <w:rPr>
      <w:rFonts w:cs="Courier New"/>
    </w:rPr>
  </w:style>
  <w:style w:type="character" w:styleId="ListLabel14">
    <w:name w:val="ListLabel 14"/>
    <w:rPr>
      <w:rFonts w:cs="Wingdings"/>
    </w:rPr>
  </w:style>
  <w:style w:type="character" w:styleId="ListLabel15">
    <w:name w:val="ListLabel 15"/>
    <w:rPr>
      <w:rFonts w:cs="Symbol"/>
    </w:rPr>
  </w:style>
  <w:style w:type="character" w:styleId="ListLabel16">
    <w:name w:val="ListLabel 16"/>
    <w:rPr>
      <w:b/>
      <w:i w:val="false"/>
      <w:sz w:val="22"/>
      <w:szCs w:val="22"/>
    </w:rPr>
  </w:style>
  <w:style w:type="character" w:styleId="ListLabel17">
    <w:name w:val="ListLabel 17"/>
    <w:rPr>
      <w:rFonts w:cs="Times New Roman"/>
    </w:rPr>
  </w:style>
  <w:style w:type="character" w:styleId="ListLabel18">
    <w:name w:val="ListLabel 18"/>
    <w:rPr>
      <w:rFonts w:cs="Courier New"/>
    </w:rPr>
  </w:style>
  <w:style w:type="character" w:styleId="ListLabel19">
    <w:name w:val="ListLabel 19"/>
    <w:rPr>
      <w:rFonts w:cs="Wingdings"/>
    </w:rPr>
  </w:style>
  <w:style w:type="character" w:styleId="ListLabel20">
    <w:name w:val="ListLabel 20"/>
    <w:rPr>
      <w:rFonts w:cs="Symbol"/>
    </w:rPr>
  </w:style>
  <w:style w:type="character" w:styleId="ListLabel21">
    <w:name w:val="ListLabel 21"/>
    <w:rPr>
      <w:b/>
      <w:i w:val="false"/>
      <w:sz w:val="22"/>
      <w:szCs w:val="22"/>
    </w:rPr>
  </w:style>
  <w:style w:type="character" w:styleId="ListLabel22">
    <w:name w:val="ListLabel 22"/>
    <w:rPr>
      <w:rFonts w:cs="Times New Roman"/>
    </w:rPr>
  </w:style>
  <w:style w:type="character" w:styleId="ListLabel23">
    <w:name w:val="ListLabel 23"/>
    <w:rPr>
      <w:rFonts w:cs="Courier New"/>
    </w:rPr>
  </w:style>
  <w:style w:type="character" w:styleId="ListLabel24">
    <w:name w:val="ListLabel 24"/>
    <w:rPr>
      <w:rFonts w:cs="Wingdings"/>
    </w:rPr>
  </w:style>
  <w:style w:type="character" w:styleId="ListLabel25">
    <w:name w:val="ListLabel 25"/>
    <w:rPr>
      <w:rFonts w:cs="Symbol"/>
    </w:rPr>
  </w:style>
  <w:style w:type="character" w:styleId="FootnoteCharacters">
    <w:name w:val="Footnote Characters"/>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link w:val="BodyTextChar"/>
    <w:rsid w:val="006a0bb1"/>
    <w:pPr>
      <w:widowControl/>
      <w:spacing w:lineRule="auto" w:line="288" w:before="0" w:after="0"/>
    </w:pPr>
    <w:rPr>
      <w:lang w:val="en-GB" w:eastAsia="en-GB"/>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Blockquote" w:customStyle="1">
    <w:name w:val="Blockquote"/>
    <w:basedOn w:val="Normal"/>
    <w:rsid w:val="00ea6c7c"/>
    <w:pPr>
      <w:ind w:left="360" w:right="360" w:hanging="0"/>
    </w:pPr>
    <w:rPr/>
  </w:style>
  <w:style w:type="paragraph" w:styleId="ListParagraph">
    <w:name w:val="List Paragraph"/>
    <w:basedOn w:val="Normal"/>
    <w:uiPriority w:val="34"/>
    <w:qFormat/>
    <w:rsid w:val="00ea6c7c"/>
    <w:pPr>
      <w:spacing w:before="100" w:after="100"/>
      <w:ind w:left="720" w:hanging="0"/>
      <w:contextualSpacing/>
    </w:pPr>
    <w:rPr/>
  </w:style>
  <w:style w:type="paragraph" w:styleId="Footnotetext">
    <w:name w:val="footnote text"/>
    <w:basedOn w:val="Normal"/>
    <w:link w:val="FootnoteTextChar"/>
    <w:uiPriority w:val="99"/>
    <w:semiHidden/>
    <w:unhideWhenUsed/>
    <w:rsid w:val="000a4362"/>
    <w:pPr>
      <w:spacing w:before="0" w:after="0"/>
    </w:pPr>
    <w:rPr>
      <w:sz w:val="20"/>
    </w:rPr>
  </w:style>
  <w:style w:type="paragraph" w:styleId="PRAGHeading2" w:customStyle="1">
    <w:name w:val="PRAG Heading 2"/>
    <w:basedOn w:val="Normal"/>
    <w:rsid w:val="00aa22a5"/>
    <w:pPr/>
    <w:rPr>
      <w:lang w:val="fr-FR"/>
    </w:rPr>
  </w:style>
  <w:style w:type="paragraph" w:styleId="Default" w:customStyle="1">
    <w:name w:val="Default"/>
    <w:rsid w:val="00aa22a5"/>
    <w:pPr>
      <w:widowControl/>
      <w:suppressAutoHyphens w:val="true"/>
      <w:bidi w:val="0"/>
      <w:spacing w:lineRule="auto" w:line="240" w:before="0" w:after="0"/>
      <w:jc w:val="left"/>
    </w:pPr>
    <w:rPr>
      <w:rFonts w:ascii="Minion Pro" w:hAnsi="Minion Pro" w:eastAsia="Times New Roman" w:cs="Minion Pro"/>
      <w:color w:val="000000"/>
      <w:sz w:val="24"/>
      <w:szCs w:val="24"/>
      <w:lang w:val="en-GB" w:eastAsia="en-GB" w:bidi="ar-SA"/>
    </w:rPr>
  </w:style>
  <w:style w:type="paragraph" w:styleId="Header">
    <w:name w:val="Header"/>
    <w:basedOn w:val="Normal"/>
    <w:link w:val="HeaderChar"/>
    <w:uiPriority w:val="99"/>
    <w:unhideWhenUsed/>
    <w:rsid w:val="00b2271a"/>
    <w:pPr>
      <w:tabs>
        <w:tab w:val="center" w:pos="4536" w:leader="none"/>
        <w:tab w:val="right" w:pos="9072" w:leader="none"/>
      </w:tabs>
      <w:spacing w:before="0" w:after="0"/>
    </w:pPr>
    <w:rPr/>
  </w:style>
  <w:style w:type="paragraph" w:styleId="Footer">
    <w:name w:val="Footer"/>
    <w:basedOn w:val="Normal"/>
    <w:link w:val="FooterChar"/>
    <w:uiPriority w:val="99"/>
    <w:unhideWhenUsed/>
    <w:rsid w:val="00b2271a"/>
    <w:pPr>
      <w:tabs>
        <w:tab w:val="center" w:pos="4536" w:leader="none"/>
        <w:tab w:val="right" w:pos="9072" w:leader="none"/>
      </w:tabs>
      <w:spacing w:before="0" w:after="0"/>
    </w:pPr>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paragraph" w:styleId="Annotationtext">
    <w:name w:val="annotation text"/>
    <w:basedOn w:val="Normal"/>
    <w:link w:val="CommentTextChar"/>
    <w:unhideWhenUsed/>
    <w:rsid w:val="00cc5dd2"/>
    <w:pPr/>
    <w:rPr>
      <w:sz w:val="20"/>
    </w:rPr>
  </w:style>
  <w:style w:type="paragraph" w:styleId="Annotationsubject">
    <w:name w:val="annotation subject"/>
    <w:basedOn w:val="Annotationtext"/>
    <w:link w:val="CommentSubjectChar"/>
    <w:uiPriority w:val="99"/>
    <w:semiHidden/>
    <w:unhideWhenUsed/>
    <w:rsid w:val="00cc5dd2"/>
    <w:pPr/>
    <w:rPr>
      <w:b/>
      <w:bCs/>
    </w:rPr>
  </w:style>
  <w:style w:type="paragraph" w:styleId="H6" w:customStyle="1">
    <w:name w:val="H6"/>
    <w:basedOn w:val="Normal"/>
    <w:next w:val="Normal"/>
    <w:rsid w:val="000557ac"/>
    <w:pPr>
      <w:keepNext/>
      <w:outlineLvl w:val="6"/>
    </w:pPr>
    <w:rPr>
      <w:b/>
      <w:sz w:val="16"/>
    </w:rPr>
  </w:style>
  <w:style w:type="paragraph" w:styleId="DefinitionTerm" w:customStyle="1">
    <w:name w:val="Definition Term"/>
    <w:basedOn w:val="Normal"/>
    <w:next w:val="Normal"/>
    <w:rsid w:val="00337e2a"/>
    <w:pPr>
      <w:spacing w:before="0" w:after="0"/>
    </w:pPr>
    <w:rPr/>
  </w:style>
  <w:style w:type="paragraph" w:styleId="Revision">
    <w:name w:val="Revision"/>
    <w:uiPriority w:val="99"/>
    <w:semiHidden/>
    <w:rsid w:val="00401fe1"/>
    <w:pPr>
      <w:widowControl/>
      <w:suppressAutoHyphens w:val="true"/>
      <w:bidi w:val="0"/>
      <w:spacing w:lineRule="auto" w:line="240" w:before="0" w:after="0"/>
      <w:jc w:val="left"/>
    </w:pPr>
    <w:rPr>
      <w:rFonts w:ascii="Times New Roman" w:hAnsi="Times New Roman" w:eastAsia="Times New Roman" w:cs="Times New Roman"/>
      <w:color w:val="00000A"/>
      <w:sz w:val="24"/>
      <w:szCs w:val="20"/>
      <w:lang w:val="en-US" w:eastAsia="en-US" w:bidi="ar-SA"/>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paragraph" w:styleId="Footnote">
    <w:name w:val="Footnote"/>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busnica.rs/" TargetMode="External"/><Relationship Id="rId3" Type="http://schemas.openxmlformats.org/officeDocument/2006/relationships/hyperlink" Target="http://ec.europa.eu/budget/graphs/inforeuro.htm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5216A-41C0-42A1-8C10-1A16C4BCA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10909</TotalTime>
  <Application>LibreOffice/4.3.0.4$Windows_x86 LibreOffice_project/62ad5818884a2fc2e5780dd45466868d41009ec0</Application>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creator>REYNOLDS Paul (DEVCO)</dc:creator>
  <dc:language>sr-Latn-RS</dc:language>
  <dcterms:modified xsi:type="dcterms:W3CDTF">2021-06-11T13:11:25Z</dcterms:modified>
  <cp:revision>32</cp:revision>
</cp:coreProperties>
</file>