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1ADDC" w14:textId="77777777" w:rsidR="007E0D76" w:rsidRDefault="00D62A71" w:rsidP="00CC09A7">
      <w:pPr>
        <w:ind w:left="284"/>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14:paraId="65B786F1" w14:textId="77777777" w:rsidR="007E0D76" w:rsidRPr="0076200F"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14:paraId="4CC0CA54" w14:textId="77777777" w:rsidR="002139C6" w:rsidRPr="00DD2F41" w:rsidRDefault="00C07AFA">
      <w:pPr>
        <w:jc w:val="center"/>
        <w:rPr>
          <w:b/>
          <w:sz w:val="28"/>
          <w:szCs w:val="28"/>
          <w:lang w:val="en-GB"/>
        </w:rPr>
      </w:pPr>
      <w:r>
        <w:rPr>
          <w:snapToGrid/>
          <w:sz w:val="22"/>
          <w:szCs w:val="22"/>
          <w:lang w:val="en-GB"/>
        </w:rPr>
        <w:pict w14:anchorId="40FDD061">
          <v:line id="_x0000_s1028"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1B1EDF3F" w14:textId="77777777" w:rsidR="005F7C95" w:rsidRPr="00CC5C90" w:rsidRDefault="005F7C95" w:rsidP="0076200F">
      <w:pPr>
        <w:jc w:val="center"/>
        <w:rPr>
          <w:rStyle w:val="Strong"/>
          <w:sz w:val="22"/>
          <w:szCs w:val="22"/>
          <w:lang w:val="en-GB"/>
        </w:rPr>
      </w:pPr>
      <w:bookmarkStart w:id="0" w:name="_Hlk16846859"/>
      <w:r w:rsidRPr="00CC5C90">
        <w:rPr>
          <w:rStyle w:val="Strong"/>
          <w:sz w:val="22"/>
          <w:szCs w:val="22"/>
          <w:lang w:val="en-GB"/>
        </w:rPr>
        <w:t>Installation of prefabricated sport facilities – skating rink and sledge toboggan run under project CB007.2.12.034 “Improving the winter tourist offer in Sokobanja and Varshets municipalities – Winter Cross-Border Tour Varshets- Sokobanja” funded under Interreg – IPA-CBC Bulgaria-Serbia Programme</w:t>
      </w:r>
    </w:p>
    <w:bookmarkEnd w:id="0"/>
    <w:p w14:paraId="0A67287D" w14:textId="77777777" w:rsidR="005F7C95" w:rsidRDefault="005F7C95" w:rsidP="005F7C95">
      <w:pPr>
        <w:jc w:val="center"/>
        <w:rPr>
          <w:rStyle w:val="Strong"/>
          <w:b w:val="0"/>
          <w:sz w:val="22"/>
          <w:szCs w:val="22"/>
          <w:lang w:val="en-GB"/>
        </w:rPr>
      </w:pPr>
      <w:r>
        <w:rPr>
          <w:b/>
          <w:sz w:val="22"/>
          <w:szCs w:val="22"/>
          <w:lang w:val="en-GB"/>
        </w:rPr>
        <w:t>Municipality of Sokobanja, Zajecar District, Republic of Serbia</w:t>
      </w:r>
    </w:p>
    <w:p w14:paraId="32890A85"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4E655241" w14:textId="73626383" w:rsidR="002139C6" w:rsidRPr="00BD63A4" w:rsidRDefault="005F7C95" w:rsidP="00805EFA">
      <w:pPr>
        <w:ind w:left="709"/>
        <w:rPr>
          <w:sz w:val="22"/>
          <w:szCs w:val="22"/>
          <w:lang w:val="en-GB"/>
        </w:rPr>
      </w:pPr>
      <w:r w:rsidRPr="000A0B69">
        <w:rPr>
          <w:sz w:val="22"/>
          <w:szCs w:val="22"/>
          <w:lang w:val="en-GB"/>
        </w:rPr>
        <w:t>CB007.2.12.034/PP2-TD0</w:t>
      </w:r>
      <w:r w:rsidR="003D7A4B">
        <w:rPr>
          <w:sz w:val="22"/>
          <w:szCs w:val="22"/>
          <w:lang w:val="en-GB"/>
        </w:rPr>
        <w:t>5</w:t>
      </w:r>
      <w:r w:rsidRPr="000A0B69">
        <w:rPr>
          <w:sz w:val="22"/>
          <w:szCs w:val="22"/>
          <w:lang w:val="en-GB"/>
        </w:rPr>
        <w:t xml:space="preserve">  </w:t>
      </w:r>
    </w:p>
    <w:p w14:paraId="20115B76"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54EE7B28" w14:textId="77777777"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14:paraId="5BF79DB3"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4569B2A5" w14:textId="77777777" w:rsidR="005F7C95" w:rsidRPr="005D14BF" w:rsidRDefault="00CC09A7" w:rsidP="00CC09A7">
      <w:pPr>
        <w:pStyle w:val="PRAGHeading2"/>
        <w:numPr>
          <w:ilvl w:val="0"/>
          <w:numId w:val="0"/>
        </w:numPr>
        <w:ind w:left="284"/>
        <w:rPr>
          <w:lang w:val="en-US"/>
        </w:rPr>
      </w:pPr>
      <w:r>
        <w:rPr>
          <w:lang w:val="en-US"/>
        </w:rPr>
        <w:t xml:space="preserve">       </w:t>
      </w:r>
      <w:r w:rsidR="005F7C95" w:rsidRPr="005D14BF">
        <w:rPr>
          <w:lang w:val="en-US"/>
        </w:rPr>
        <w:t>Interreg – IPA-CBC Bulgaria-Serbia Programme, CCI № 2014TC16I5CB007-2</w:t>
      </w:r>
    </w:p>
    <w:p w14:paraId="02F73CE3"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14:paraId="61E774E1" w14:textId="77777777" w:rsidR="00D607BF" w:rsidRPr="00F62792" w:rsidRDefault="00D607BF" w:rsidP="00D607BF">
      <w:pPr>
        <w:pStyle w:val="PRAGHeading2"/>
        <w:numPr>
          <w:ilvl w:val="0"/>
          <w:numId w:val="0"/>
        </w:numPr>
        <w:ind w:left="709"/>
        <w:rPr>
          <w:rStyle w:val="Emphasis"/>
          <w:i w:val="0"/>
          <w:sz w:val="22"/>
          <w:szCs w:val="22"/>
          <w:lang w:val="sr-Cyrl-RS"/>
        </w:rPr>
      </w:pPr>
      <w:r w:rsidRPr="00F62792">
        <w:rPr>
          <w:rStyle w:val="Emphasis"/>
          <w:i w:val="0"/>
          <w:sz w:val="22"/>
          <w:szCs w:val="22"/>
          <w:lang w:val="en-GB"/>
        </w:rPr>
        <w:t>INTERREG IPA Cross-border Cooperation Programme Bulgaria – Serbia was adopted by the European Commission with Decision No C(2015) 5444 on 30th of July 2015. Project No is CB007.</w:t>
      </w:r>
      <w:r>
        <w:rPr>
          <w:rStyle w:val="Emphasis"/>
          <w:i w:val="0"/>
          <w:sz w:val="22"/>
          <w:szCs w:val="22"/>
          <w:lang w:val="en-GB"/>
        </w:rPr>
        <w:t>2</w:t>
      </w:r>
      <w:r w:rsidRPr="00F62792">
        <w:rPr>
          <w:rStyle w:val="Emphasis"/>
          <w:i w:val="0"/>
          <w:sz w:val="22"/>
          <w:szCs w:val="22"/>
          <w:lang w:val="en-GB"/>
        </w:rPr>
        <w:t>.1</w:t>
      </w:r>
      <w:r>
        <w:rPr>
          <w:rStyle w:val="Emphasis"/>
          <w:i w:val="0"/>
          <w:sz w:val="22"/>
          <w:szCs w:val="22"/>
          <w:lang w:val="en-GB"/>
        </w:rPr>
        <w:t>2</w:t>
      </w:r>
      <w:r w:rsidRPr="00F62792">
        <w:rPr>
          <w:rStyle w:val="Emphasis"/>
          <w:i w:val="0"/>
          <w:sz w:val="22"/>
          <w:szCs w:val="22"/>
          <w:lang w:val="en-GB"/>
        </w:rPr>
        <w:t>.</w:t>
      </w:r>
      <w:r>
        <w:rPr>
          <w:rStyle w:val="Emphasis"/>
          <w:i w:val="0"/>
          <w:sz w:val="22"/>
          <w:szCs w:val="22"/>
          <w:lang w:val="en-GB"/>
        </w:rPr>
        <w:t>034</w:t>
      </w:r>
      <w:r w:rsidRPr="00F62792">
        <w:rPr>
          <w:rStyle w:val="Emphasis"/>
          <w:i w:val="0"/>
          <w:sz w:val="22"/>
          <w:szCs w:val="22"/>
          <w:lang w:val="en-GB"/>
        </w:rPr>
        <w:t xml:space="preserve">, </w:t>
      </w:r>
      <w:bookmarkStart w:id="1" w:name="_Hlk16853282"/>
      <w:r w:rsidRPr="00F62792">
        <w:rPr>
          <w:rStyle w:val="Emphasis"/>
          <w:i w:val="0"/>
          <w:sz w:val="22"/>
          <w:szCs w:val="22"/>
          <w:lang w:val="en-GB"/>
        </w:rPr>
        <w:t xml:space="preserve">Contract No </w:t>
      </w:r>
      <w:r>
        <w:rPr>
          <w:rStyle w:val="Emphasis"/>
          <w:i w:val="0"/>
          <w:sz w:val="22"/>
          <w:szCs w:val="22"/>
          <w:lang w:val="sr-Cyrl-RS"/>
        </w:rPr>
        <w:t>РД</w:t>
      </w:r>
      <w:r w:rsidRPr="00F62792">
        <w:rPr>
          <w:rStyle w:val="Emphasis"/>
          <w:i w:val="0"/>
          <w:sz w:val="22"/>
          <w:szCs w:val="22"/>
          <w:lang w:val="en-GB"/>
        </w:rPr>
        <w:t>-02-29-</w:t>
      </w:r>
      <w:r>
        <w:rPr>
          <w:rStyle w:val="Emphasis"/>
          <w:i w:val="0"/>
          <w:sz w:val="22"/>
          <w:szCs w:val="22"/>
          <w:lang w:val="sr-Cyrl-RS"/>
        </w:rPr>
        <w:t>89</w:t>
      </w:r>
      <w:r w:rsidRPr="00F62792">
        <w:rPr>
          <w:rStyle w:val="Emphasis"/>
          <w:i w:val="0"/>
          <w:sz w:val="22"/>
          <w:szCs w:val="22"/>
          <w:lang w:val="en-GB"/>
        </w:rPr>
        <w:t>/</w:t>
      </w:r>
      <w:r>
        <w:rPr>
          <w:rStyle w:val="Emphasis"/>
          <w:i w:val="0"/>
          <w:sz w:val="22"/>
          <w:szCs w:val="22"/>
          <w:lang w:val="sr-Cyrl-RS"/>
        </w:rPr>
        <w:t>16</w:t>
      </w:r>
      <w:r w:rsidRPr="00F62792">
        <w:rPr>
          <w:rStyle w:val="Emphasis"/>
          <w:i w:val="0"/>
          <w:sz w:val="22"/>
          <w:szCs w:val="22"/>
          <w:lang w:val="en-GB"/>
        </w:rPr>
        <w:t>.</w:t>
      </w:r>
      <w:r>
        <w:rPr>
          <w:rStyle w:val="Emphasis"/>
          <w:i w:val="0"/>
          <w:sz w:val="22"/>
          <w:szCs w:val="22"/>
          <w:lang w:val="sr-Cyrl-RS"/>
        </w:rPr>
        <w:t>05</w:t>
      </w:r>
      <w:r w:rsidRPr="00F62792">
        <w:rPr>
          <w:rStyle w:val="Emphasis"/>
          <w:i w:val="0"/>
          <w:sz w:val="22"/>
          <w:szCs w:val="22"/>
          <w:lang w:val="en-GB"/>
        </w:rPr>
        <w:t>.201</w:t>
      </w:r>
      <w:r>
        <w:rPr>
          <w:rStyle w:val="Emphasis"/>
          <w:i w:val="0"/>
          <w:sz w:val="22"/>
          <w:szCs w:val="22"/>
          <w:lang w:val="sr-Cyrl-RS"/>
        </w:rPr>
        <w:t>9</w:t>
      </w:r>
      <w:bookmarkEnd w:id="1"/>
    </w:p>
    <w:p w14:paraId="077BC039"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14:paraId="318A0514" w14:textId="77777777" w:rsidR="00E65F7A" w:rsidRDefault="00E65F7A" w:rsidP="00E65F7A">
      <w:pPr>
        <w:spacing w:before="0" w:after="0"/>
        <w:ind w:left="993" w:hanging="284"/>
        <w:outlineLvl w:val="0"/>
        <w:rPr>
          <w:rStyle w:val="Strong"/>
          <w:b w:val="0"/>
          <w:bCs/>
          <w:sz w:val="22"/>
          <w:szCs w:val="22"/>
          <w:lang w:val="en-GB"/>
        </w:rPr>
      </w:pPr>
      <w:r w:rsidRPr="00F62792">
        <w:rPr>
          <w:rStyle w:val="Strong"/>
          <w:b w:val="0"/>
          <w:bCs/>
          <w:sz w:val="22"/>
          <w:szCs w:val="22"/>
          <w:lang w:val="en-GB"/>
        </w:rPr>
        <w:t xml:space="preserve">Municipality of Sokobanja </w:t>
      </w:r>
    </w:p>
    <w:p w14:paraId="16F196DA" w14:textId="77777777" w:rsidR="00E65F7A" w:rsidRDefault="00E65F7A" w:rsidP="00E65F7A">
      <w:pPr>
        <w:spacing w:before="0" w:after="0"/>
        <w:ind w:left="993" w:hanging="284"/>
        <w:outlineLvl w:val="0"/>
        <w:rPr>
          <w:rStyle w:val="Strong"/>
          <w:b w:val="0"/>
          <w:bCs/>
          <w:sz w:val="22"/>
          <w:szCs w:val="22"/>
          <w:lang w:val="en-GB"/>
        </w:rPr>
      </w:pPr>
      <w:r>
        <w:rPr>
          <w:rStyle w:val="Strong"/>
          <w:b w:val="0"/>
          <w:bCs/>
          <w:sz w:val="22"/>
          <w:szCs w:val="22"/>
          <w:lang w:val="en-GB"/>
        </w:rPr>
        <w:t>Svetog Save 23</w:t>
      </w:r>
    </w:p>
    <w:p w14:paraId="4D34E0B7" w14:textId="77777777" w:rsidR="00E65F7A" w:rsidRDefault="00E65F7A" w:rsidP="00E65F7A">
      <w:pPr>
        <w:spacing w:before="0" w:after="0"/>
        <w:ind w:left="993" w:hanging="284"/>
        <w:outlineLvl w:val="0"/>
        <w:rPr>
          <w:rStyle w:val="Strong"/>
          <w:b w:val="0"/>
          <w:bCs/>
          <w:sz w:val="22"/>
          <w:szCs w:val="22"/>
          <w:lang w:val="en-GB"/>
        </w:rPr>
      </w:pPr>
      <w:r>
        <w:rPr>
          <w:rStyle w:val="Strong"/>
          <w:b w:val="0"/>
          <w:bCs/>
          <w:sz w:val="22"/>
          <w:szCs w:val="22"/>
          <w:lang w:val="en-GB"/>
        </w:rPr>
        <w:t>18230 Sokobanja, Serbia</w:t>
      </w:r>
    </w:p>
    <w:p w14:paraId="009DBD2D" w14:textId="77777777" w:rsidR="00E65F7A" w:rsidRDefault="00E65F7A" w:rsidP="00E65F7A">
      <w:pPr>
        <w:spacing w:before="0" w:after="0"/>
        <w:ind w:left="993" w:hanging="349"/>
        <w:outlineLvl w:val="0"/>
        <w:rPr>
          <w:rStyle w:val="Strong"/>
          <w:b w:val="0"/>
          <w:bCs/>
          <w:sz w:val="22"/>
          <w:szCs w:val="22"/>
          <w:lang w:val="en-GB"/>
        </w:rPr>
      </w:pPr>
    </w:p>
    <w:p w14:paraId="3E6F2204" w14:textId="77777777" w:rsidR="00E65F7A" w:rsidRPr="00F62792" w:rsidRDefault="00E65F7A" w:rsidP="00E65F7A">
      <w:pPr>
        <w:spacing w:before="0" w:after="0"/>
        <w:ind w:left="993" w:hanging="284"/>
        <w:outlineLvl w:val="0"/>
        <w:rPr>
          <w:b/>
          <w:bCs/>
          <w:sz w:val="22"/>
          <w:szCs w:val="22"/>
          <w:lang w:val="sr-Latn-RS"/>
        </w:rPr>
      </w:pPr>
      <w:r>
        <w:rPr>
          <w:rStyle w:val="Strong"/>
          <w:b w:val="0"/>
          <w:bCs/>
          <w:sz w:val="22"/>
          <w:szCs w:val="22"/>
          <w:lang w:val="en-GB"/>
        </w:rPr>
        <w:t>Contact person: Ljubinko Milenkovic</w:t>
      </w:r>
      <w:r>
        <w:rPr>
          <w:rStyle w:val="Strong"/>
          <w:b w:val="0"/>
          <w:bCs/>
          <w:sz w:val="22"/>
          <w:szCs w:val="22"/>
          <w:lang w:val="sr-Latn-RS"/>
        </w:rPr>
        <w:t xml:space="preserve"> +381 18 830 030</w:t>
      </w:r>
    </w:p>
    <w:p w14:paraId="4878D5E9" w14:textId="77777777" w:rsidR="00E65F7A" w:rsidRDefault="00E65F7A" w:rsidP="00E65F7A">
      <w:pPr>
        <w:snapToGrid w:val="0"/>
        <w:ind w:left="360"/>
        <w:jc w:val="both"/>
        <w:rPr>
          <w:sz w:val="22"/>
          <w:szCs w:val="22"/>
          <w:lang w:val="en-GB"/>
        </w:rPr>
      </w:pPr>
    </w:p>
    <w:p w14:paraId="5EB32482" w14:textId="77777777" w:rsidR="002139C6" w:rsidRPr="00DD2F41" w:rsidRDefault="00C07AFA">
      <w:pPr>
        <w:ind w:left="360"/>
        <w:jc w:val="center"/>
        <w:rPr>
          <w:rStyle w:val="Strong"/>
          <w:sz w:val="22"/>
          <w:szCs w:val="22"/>
          <w:lang w:val="en-GB"/>
        </w:rPr>
      </w:pPr>
      <w:r>
        <w:rPr>
          <w:b/>
          <w:noProof/>
          <w:snapToGrid/>
          <w:sz w:val="22"/>
          <w:szCs w:val="22"/>
          <w:lang w:val="en-GB" w:eastAsia="en-GB"/>
        </w:rPr>
        <w:pict w14:anchorId="642FF9E5">
          <v:line id="_x0000_s1030" style="position:absolute;left:0;text-align:left;z-index:5" from="2.25pt,-.45pt" to="470.25pt,-.4pt" o:allowincell="f" strokecolor="#d4d4d4" strokeweight="1.75pt">
            <v:shadow on="t" origin=",32385f" offset="0,-1pt"/>
          </v:line>
        </w:pict>
      </w:r>
      <w:r w:rsidR="002139C6" w:rsidRPr="00DD2F41">
        <w:rPr>
          <w:rStyle w:val="Strong"/>
          <w:sz w:val="22"/>
          <w:szCs w:val="22"/>
          <w:lang w:val="en-GB"/>
        </w:rPr>
        <w:t>CONTRACT SPECIFICATIONS</w:t>
      </w:r>
    </w:p>
    <w:p w14:paraId="198C7967"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3D1A26A8" w14:textId="77777777"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14:paraId="2F49C463"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08DA8DEA" w14:textId="77777777" w:rsidR="00AA68C3" w:rsidRDefault="00211459" w:rsidP="00211459">
      <w:pPr>
        <w:ind w:left="709"/>
        <w:jc w:val="both"/>
        <w:rPr>
          <w:sz w:val="22"/>
          <w:szCs w:val="22"/>
          <w:lang w:val="en-US"/>
        </w:rPr>
      </w:pPr>
      <w:r>
        <w:rPr>
          <w:sz w:val="22"/>
          <w:szCs w:val="22"/>
          <w:lang w:val="en-GB"/>
        </w:rPr>
        <w:t xml:space="preserve">In relation of need to </w:t>
      </w:r>
      <w:r w:rsidR="003D7A4B">
        <w:rPr>
          <w:sz w:val="22"/>
          <w:szCs w:val="22"/>
          <w:lang w:val="en-GB"/>
        </w:rPr>
        <w:t>d</w:t>
      </w:r>
      <w:r w:rsidRPr="00211459">
        <w:rPr>
          <w:sz w:val="22"/>
          <w:szCs w:val="22"/>
          <w:lang w:val="en-GB"/>
        </w:rPr>
        <w:t xml:space="preserve">evelop </w:t>
      </w:r>
      <w:r w:rsidR="003D7A4B">
        <w:rPr>
          <w:sz w:val="22"/>
          <w:szCs w:val="22"/>
          <w:lang w:val="en-GB"/>
        </w:rPr>
        <w:t xml:space="preserve">winter tourist offer </w:t>
      </w:r>
      <w:r>
        <w:rPr>
          <w:sz w:val="22"/>
          <w:szCs w:val="22"/>
          <w:lang w:val="en-GB"/>
        </w:rPr>
        <w:t>in Sokobanja</w:t>
      </w:r>
      <w:r w:rsidR="003D7A4B">
        <w:rPr>
          <w:sz w:val="22"/>
          <w:szCs w:val="22"/>
          <w:lang w:val="en-GB"/>
        </w:rPr>
        <w:t xml:space="preserve">, </w:t>
      </w:r>
      <w:r w:rsidR="00AA68C3" w:rsidRPr="00AA68C3">
        <w:rPr>
          <w:sz w:val="22"/>
          <w:szCs w:val="22"/>
          <w:lang w:val="en-US"/>
        </w:rPr>
        <w:t>the subject of the contract is setting up of a temporary prefabricated sports facility on the cadastral plot 5639/1 in KO Sokobanja.</w:t>
      </w:r>
    </w:p>
    <w:p w14:paraId="3BFFDD23" w14:textId="689865C6" w:rsidR="00D62A71" w:rsidRDefault="00AA68C3" w:rsidP="00211459">
      <w:pPr>
        <w:ind w:left="709"/>
        <w:jc w:val="both"/>
        <w:rPr>
          <w:sz w:val="22"/>
          <w:szCs w:val="22"/>
          <w:lang w:val="en-GB"/>
        </w:rPr>
      </w:pPr>
      <w:r>
        <w:rPr>
          <w:sz w:val="22"/>
          <w:szCs w:val="22"/>
          <w:lang w:val="en-GB"/>
        </w:rPr>
        <w:t>This temporary sport facility</w:t>
      </w:r>
      <w:r w:rsidR="00211459" w:rsidRPr="00211459">
        <w:rPr>
          <w:sz w:val="22"/>
          <w:szCs w:val="22"/>
          <w:lang w:val="en-GB"/>
        </w:rPr>
        <w:t xml:space="preserve"> will consist of two parts: ice rink and sledding toboggan run. It is planned to use the facility for more seasons, 7-10 years. The rink </w:t>
      </w:r>
      <w:r>
        <w:rPr>
          <w:sz w:val="22"/>
          <w:szCs w:val="22"/>
          <w:lang w:val="en-GB"/>
        </w:rPr>
        <w:t>is</w:t>
      </w:r>
      <w:r w:rsidR="00211459" w:rsidRPr="00211459">
        <w:rPr>
          <w:sz w:val="22"/>
          <w:szCs w:val="22"/>
          <w:lang w:val="en-GB"/>
        </w:rPr>
        <w:t xml:space="preserve"> designed from synthetic ice</w:t>
      </w:r>
      <w:r>
        <w:rPr>
          <w:sz w:val="22"/>
          <w:szCs w:val="22"/>
          <w:lang w:val="en-GB"/>
        </w:rPr>
        <w:t xml:space="preserve">, </w:t>
      </w:r>
      <w:r w:rsidR="00211459" w:rsidRPr="00211459">
        <w:rPr>
          <w:sz w:val="22"/>
          <w:szCs w:val="22"/>
          <w:lang w:val="en-GB"/>
        </w:rPr>
        <w:t>dimension</w:t>
      </w:r>
      <w:r>
        <w:rPr>
          <w:sz w:val="22"/>
          <w:szCs w:val="22"/>
          <w:lang w:val="en-GB"/>
        </w:rPr>
        <w:t xml:space="preserve"> of </w:t>
      </w:r>
      <w:r w:rsidRPr="00AA68C3">
        <w:rPr>
          <w:sz w:val="22"/>
          <w:szCs w:val="22"/>
          <w:lang w:val="en-GB"/>
        </w:rPr>
        <w:t>sliding plates</w:t>
      </w:r>
      <w:r w:rsidR="00211459" w:rsidRPr="00211459">
        <w:rPr>
          <w:sz w:val="22"/>
          <w:szCs w:val="22"/>
          <w:lang w:val="en-GB"/>
        </w:rPr>
        <w:t xml:space="preserve"> 14x16m. A protective ring fence </w:t>
      </w:r>
      <w:r>
        <w:rPr>
          <w:sz w:val="22"/>
          <w:szCs w:val="22"/>
          <w:lang w:val="en-GB"/>
        </w:rPr>
        <w:t>should</w:t>
      </w:r>
      <w:r w:rsidR="00211459" w:rsidRPr="00211459">
        <w:rPr>
          <w:sz w:val="22"/>
          <w:szCs w:val="22"/>
          <w:lang w:val="en-GB"/>
        </w:rPr>
        <w:t xml:space="preserve"> be mounted around the sliding rink. The toboggan run </w:t>
      </w:r>
      <w:r>
        <w:rPr>
          <w:sz w:val="22"/>
          <w:szCs w:val="22"/>
          <w:lang w:val="en-GB"/>
        </w:rPr>
        <w:t>is</w:t>
      </w:r>
      <w:r w:rsidR="00211459" w:rsidRPr="00211459">
        <w:rPr>
          <w:sz w:val="22"/>
          <w:szCs w:val="22"/>
          <w:lang w:val="en-GB"/>
        </w:rPr>
        <w:t xml:space="preserve"> designed as a slope made of a steel framework, a wooden </w:t>
      </w:r>
      <w:r w:rsidR="00211459" w:rsidRPr="00211459">
        <w:rPr>
          <w:sz w:val="22"/>
          <w:szCs w:val="22"/>
          <w:lang w:val="en-GB"/>
        </w:rPr>
        <w:lastRenderedPageBreak/>
        <w:t xml:space="preserve">platform, a sliding surface for sledding made of synthetic ice panels, barriers which shape the trails and a protective fence.                                         </w:t>
      </w:r>
    </w:p>
    <w:p w14:paraId="61D35304" w14:textId="77777777"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14:paraId="0324AF5A" w14:textId="5769328F" w:rsidR="00B24E1F" w:rsidRPr="009018CD" w:rsidRDefault="00BD7EDB" w:rsidP="00B24E1F">
      <w:pPr>
        <w:ind w:left="709"/>
        <w:rPr>
          <w:sz w:val="22"/>
          <w:szCs w:val="22"/>
          <w:lang w:val="en-GB"/>
        </w:rPr>
      </w:pPr>
      <w:r w:rsidRPr="009018CD">
        <w:rPr>
          <w:sz w:val="22"/>
          <w:szCs w:val="22"/>
          <w:lang w:val="en-GB"/>
        </w:rPr>
        <w:t>15</w:t>
      </w:r>
      <w:r w:rsidR="003F03F1" w:rsidRPr="009018CD">
        <w:rPr>
          <w:sz w:val="22"/>
          <w:szCs w:val="22"/>
          <w:lang w:val="en-GB"/>
        </w:rPr>
        <w:t xml:space="preserve"> </w:t>
      </w:r>
      <w:r w:rsidR="00DF634F" w:rsidRPr="009018CD">
        <w:rPr>
          <w:sz w:val="22"/>
          <w:szCs w:val="22"/>
          <w:lang w:val="en-GB"/>
        </w:rPr>
        <w:t>November</w:t>
      </w:r>
      <w:r w:rsidR="003F03F1" w:rsidRPr="009018CD">
        <w:rPr>
          <w:sz w:val="22"/>
          <w:szCs w:val="22"/>
          <w:lang w:val="en-GB"/>
        </w:rPr>
        <w:t xml:space="preserve"> 2019.</w:t>
      </w:r>
    </w:p>
    <w:p w14:paraId="3167BC94" w14:textId="77777777" w:rsidR="002E09EF" w:rsidRPr="009018CD" w:rsidRDefault="002E09EF" w:rsidP="002E09EF">
      <w:pPr>
        <w:pStyle w:val="PRAGHeading2"/>
        <w:rPr>
          <w:rStyle w:val="Strong"/>
          <w:b w:val="0"/>
          <w:sz w:val="22"/>
          <w:szCs w:val="22"/>
          <w:lang w:val="en-GB"/>
        </w:rPr>
      </w:pPr>
      <w:r w:rsidRPr="009018CD">
        <w:rPr>
          <w:rStyle w:val="Strong"/>
          <w:b w:val="0"/>
          <w:sz w:val="22"/>
          <w:szCs w:val="22"/>
          <w:lang w:val="en-GB"/>
        </w:rPr>
        <w:t>P</w:t>
      </w:r>
      <w:r w:rsidRPr="009018CD">
        <w:rPr>
          <w:b/>
          <w:sz w:val="22"/>
          <w:szCs w:val="22"/>
          <w:lang w:val="en-GB"/>
        </w:rPr>
        <w:t>eriod of implementation of tasks</w:t>
      </w:r>
    </w:p>
    <w:p w14:paraId="4D03F70B" w14:textId="4AEDBD3F" w:rsidR="00B24E1F" w:rsidRPr="009018CD" w:rsidRDefault="005B0448" w:rsidP="00D62A71">
      <w:pPr>
        <w:ind w:left="709"/>
        <w:rPr>
          <w:sz w:val="22"/>
          <w:szCs w:val="22"/>
          <w:lang w:val="en-GB"/>
        </w:rPr>
      </w:pPr>
      <w:r w:rsidRPr="009018CD">
        <w:rPr>
          <w:sz w:val="22"/>
          <w:szCs w:val="22"/>
          <w:lang w:val="en-GB"/>
        </w:rPr>
        <w:t>60</w:t>
      </w:r>
      <w:r w:rsidR="003F03F1" w:rsidRPr="009018CD">
        <w:rPr>
          <w:sz w:val="22"/>
          <w:szCs w:val="22"/>
          <w:lang w:val="en-GB"/>
        </w:rPr>
        <w:t xml:space="preserve"> </w:t>
      </w:r>
      <w:r w:rsidRPr="009018CD">
        <w:rPr>
          <w:sz w:val="22"/>
          <w:szCs w:val="22"/>
          <w:lang w:val="en-GB"/>
        </w:rPr>
        <w:t>days</w:t>
      </w:r>
      <w:r w:rsidR="00AA68C3" w:rsidRPr="009018CD">
        <w:rPr>
          <w:sz w:val="22"/>
          <w:szCs w:val="22"/>
          <w:lang w:val="en-GB"/>
        </w:rPr>
        <w:t xml:space="preserve"> from contract signature</w:t>
      </w:r>
    </w:p>
    <w:p w14:paraId="2C2951EA" w14:textId="77777777" w:rsidR="002139C6" w:rsidRPr="00DD2F41" w:rsidRDefault="00C07AFA">
      <w:pPr>
        <w:ind w:left="360"/>
        <w:jc w:val="center"/>
        <w:rPr>
          <w:rStyle w:val="Strong"/>
          <w:sz w:val="22"/>
          <w:szCs w:val="22"/>
          <w:lang w:val="en-GB"/>
        </w:rPr>
      </w:pPr>
      <w:r>
        <w:rPr>
          <w:b/>
          <w:noProof/>
          <w:snapToGrid/>
          <w:sz w:val="22"/>
          <w:szCs w:val="22"/>
          <w:lang w:val="en-GB" w:eastAsia="en-GB"/>
        </w:rPr>
        <w:pict w14:anchorId="1F92AC2C">
          <v:line id="_x0000_s1029" style="position:absolute;left:0;text-align:left;z-index:4" from="2.25pt,.9pt" to="470.25pt,.95pt" o:allowincell="f" strokecolor="#d4d4d4" strokeweight="1.75pt">
            <v:shadow on="t" origin=",32385f" offset="0,-1pt"/>
          </v:line>
        </w:pict>
      </w:r>
      <w:r w:rsidR="002139C6" w:rsidRPr="009018CD">
        <w:rPr>
          <w:rStyle w:val="Strong"/>
          <w:sz w:val="22"/>
          <w:szCs w:val="22"/>
          <w:lang w:val="en-GB"/>
        </w:rPr>
        <w:t>TERMS</w:t>
      </w:r>
      <w:r w:rsidR="002139C6" w:rsidRPr="00DD2F41">
        <w:rPr>
          <w:rStyle w:val="Strong"/>
          <w:sz w:val="22"/>
          <w:szCs w:val="22"/>
          <w:lang w:val="en-GB"/>
        </w:rPr>
        <w:t xml:space="preserve"> OF PARTICIPATION</w:t>
      </w:r>
    </w:p>
    <w:p w14:paraId="48384D95" w14:textId="77777777"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14:paraId="6725103B" w14:textId="77777777"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14:paraId="13EC8F10" w14:textId="77777777"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14:paraId="7539144D" w14:textId="77777777" w:rsidR="003F03F1" w:rsidRDefault="00B24E1F" w:rsidP="0076200F">
      <w:pPr>
        <w:pStyle w:val="PRAGHeading2"/>
        <w:keepNext/>
        <w:keepLines/>
        <w:numPr>
          <w:ilvl w:val="0"/>
          <w:numId w:val="0"/>
        </w:numPr>
        <w:ind w:left="720"/>
        <w:jc w:val="both"/>
        <w:rPr>
          <w:rStyle w:val="Strong"/>
          <w:b w:val="0"/>
          <w:sz w:val="22"/>
          <w:szCs w:val="22"/>
          <w:lang w:val="en-GB"/>
        </w:rPr>
      </w:pPr>
      <w:r w:rsidRPr="00B24E1F">
        <w:rPr>
          <w:rStyle w:val="Strong"/>
          <w:b w:val="0"/>
          <w:sz w:val="22"/>
          <w:szCs w:val="22"/>
          <w:lang w:val="en-GB"/>
        </w:rPr>
        <w:t xml:space="preserve">Subcontracting is allowed. </w:t>
      </w:r>
    </w:p>
    <w:p w14:paraId="29CCD6B8" w14:textId="77777777"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3256175A" w14:textId="77777777"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14:paraId="2BCAAE9D" w14:textId="77777777"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19998B7D"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3288F4B5"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4B20835E"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395C8F28"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w:t>
      </w:r>
      <w:r w:rsidRPr="00805EFA">
        <w:rPr>
          <w:sz w:val="22"/>
          <w:szCs w:val="22"/>
          <w:lang w:val="en-GB"/>
        </w:rPr>
        <w:lastRenderedPageBreak/>
        <w:t>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2EECBB7D" w14:textId="77777777" w:rsidR="002139C6" w:rsidRPr="00DD2F41" w:rsidRDefault="00C07AFA" w:rsidP="0076200F">
      <w:pPr>
        <w:keepNext/>
        <w:keepLines/>
        <w:jc w:val="both"/>
        <w:rPr>
          <w:sz w:val="22"/>
          <w:szCs w:val="22"/>
          <w:lang w:val="en-GB"/>
        </w:rPr>
      </w:pPr>
      <w:r>
        <w:rPr>
          <w:snapToGrid/>
          <w:sz w:val="22"/>
          <w:szCs w:val="22"/>
          <w:lang w:val="en-GB"/>
        </w:rPr>
        <w:pict w14:anchorId="58E3CFA0">
          <v:line id="_x0000_s1026" style="position:absolute;left:0;text-align:left;z-index:1" from="0,12pt" to="468pt,12.05pt" o:allowincell="f" strokecolor="#d4d4d4" strokeweight="1.75pt">
            <v:shadow on="t" origin=",32385f" offset="0,-1pt"/>
          </v:line>
        </w:pict>
      </w:r>
    </w:p>
    <w:p w14:paraId="4AE1689A"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4476ACA5"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17CA0179" w14:textId="77777777"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3BA73608"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18D097CB" w14:textId="77777777" w:rsidR="002B0469" w:rsidRDefault="001408AF" w:rsidP="0076200F">
      <w:pPr>
        <w:ind w:left="720"/>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14:paraId="155BF3C8" w14:textId="77777777" w:rsidR="00087875" w:rsidRPr="00C36DC1" w:rsidRDefault="00087875" w:rsidP="00087875">
      <w:pPr>
        <w:widowControl/>
        <w:numPr>
          <w:ilvl w:val="0"/>
          <w:numId w:val="40"/>
        </w:numPr>
        <w:spacing w:before="0" w:after="120"/>
        <w:jc w:val="both"/>
        <w:rPr>
          <w:sz w:val="22"/>
          <w:szCs w:val="22"/>
        </w:rPr>
      </w:pPr>
      <w:r w:rsidRPr="00C36DC1">
        <w:rPr>
          <w:sz w:val="22"/>
          <w:szCs w:val="22"/>
        </w:rPr>
        <w:t>the average annual turnover from the construction activities of the tenderer in the past 3 years (201</w:t>
      </w:r>
      <w:r>
        <w:rPr>
          <w:sz w:val="22"/>
          <w:szCs w:val="22"/>
        </w:rPr>
        <w:t>6</w:t>
      </w:r>
      <w:r w:rsidRPr="00C36DC1">
        <w:rPr>
          <w:sz w:val="22"/>
          <w:szCs w:val="22"/>
        </w:rPr>
        <w:t>, 201</w:t>
      </w:r>
      <w:r>
        <w:rPr>
          <w:sz w:val="22"/>
          <w:szCs w:val="22"/>
        </w:rPr>
        <w:t>7</w:t>
      </w:r>
      <w:r w:rsidRPr="00C36DC1">
        <w:rPr>
          <w:sz w:val="22"/>
          <w:szCs w:val="22"/>
        </w:rPr>
        <w:t xml:space="preserve"> and 201</w:t>
      </w:r>
      <w:r>
        <w:rPr>
          <w:sz w:val="22"/>
          <w:szCs w:val="22"/>
        </w:rPr>
        <w:t>8</w:t>
      </w:r>
      <w:r w:rsidRPr="00C36DC1">
        <w:rPr>
          <w:sz w:val="22"/>
          <w:szCs w:val="22"/>
        </w:rPr>
        <w:t xml:space="preserve"> ) must be </w:t>
      </w:r>
      <w:r w:rsidRPr="00B645F0">
        <w:rPr>
          <w:sz w:val="22"/>
          <w:szCs w:val="22"/>
        </w:rPr>
        <w:t xml:space="preserve">at </w:t>
      </w:r>
      <w:r>
        <w:rPr>
          <w:sz w:val="22"/>
          <w:lang w:val="en-GB"/>
        </w:rPr>
        <w:t xml:space="preserve"> least the value of the tenderer</w:t>
      </w:r>
      <w:r>
        <w:rPr>
          <w:sz w:val="22"/>
          <w:lang w:val="en-US"/>
        </w:rPr>
        <w:t>’s offer;</w:t>
      </w:r>
    </w:p>
    <w:p w14:paraId="42731D73" w14:textId="763C184D" w:rsidR="00FD0E2B" w:rsidRDefault="00FD0E2B" w:rsidP="00FD0E2B">
      <w:pPr>
        <w:widowControl/>
        <w:numPr>
          <w:ilvl w:val="0"/>
          <w:numId w:val="40"/>
        </w:numPr>
        <w:spacing w:before="0" w:after="120"/>
        <w:jc w:val="both"/>
        <w:rPr>
          <w:sz w:val="22"/>
          <w:szCs w:val="22"/>
        </w:rPr>
      </w:pPr>
      <w:r w:rsidRPr="00FD0E2B">
        <w:rPr>
          <w:sz w:val="22"/>
          <w:szCs w:val="22"/>
        </w:rPr>
        <w:t>that the tenderer, in the last six months preceding the month in which the Call for Proposals was published, was not illiquid</w:t>
      </w:r>
    </w:p>
    <w:p w14:paraId="3041429D" w14:textId="77777777" w:rsidR="00FD0E2B" w:rsidRPr="009018CD" w:rsidRDefault="00FD0E2B" w:rsidP="00FD0E2B">
      <w:pPr>
        <w:pStyle w:val="Blockquote"/>
        <w:ind w:left="1843" w:firstLine="11"/>
        <w:jc w:val="both"/>
        <w:rPr>
          <w:sz w:val="22"/>
          <w:szCs w:val="22"/>
        </w:rPr>
      </w:pPr>
      <w:r w:rsidRPr="009018CD">
        <w:rPr>
          <w:sz w:val="22"/>
          <w:szCs w:val="22"/>
        </w:rPr>
        <w:t xml:space="preserve">Proof : the tenderer has to present “Izveštaj o bonitetu” for public procurements (Form </w:t>
      </w:r>
      <w:r w:rsidRPr="009018CD">
        <w:rPr>
          <w:sz w:val="22"/>
          <w:szCs w:val="22"/>
          <w:lang w:val="sr-Cyrl-RS"/>
        </w:rPr>
        <w:t>БОН-ЈН)</w:t>
      </w:r>
      <w:r w:rsidRPr="009018CD">
        <w:rPr>
          <w:sz w:val="22"/>
          <w:szCs w:val="22"/>
        </w:rPr>
        <w:t xml:space="preserve"> issued by the Serbian Business Registers Agency, which has to comprise the following:</w:t>
      </w:r>
    </w:p>
    <w:p w14:paraId="52A54DB0" w14:textId="77777777" w:rsidR="00FD0E2B" w:rsidRPr="009018CD" w:rsidRDefault="00FD0E2B" w:rsidP="00FD0E2B">
      <w:pPr>
        <w:pStyle w:val="Blockquote"/>
        <w:numPr>
          <w:ilvl w:val="1"/>
          <w:numId w:val="40"/>
        </w:numPr>
        <w:jc w:val="both"/>
        <w:rPr>
          <w:sz w:val="22"/>
          <w:szCs w:val="22"/>
        </w:rPr>
      </w:pPr>
      <w:r w:rsidRPr="009018CD">
        <w:rPr>
          <w:sz w:val="22"/>
          <w:szCs w:val="22"/>
        </w:rPr>
        <w:t>status of the tenderer</w:t>
      </w:r>
    </w:p>
    <w:p w14:paraId="2AA22BCF" w14:textId="77777777" w:rsidR="00FD0E2B" w:rsidRPr="009018CD" w:rsidRDefault="00FD0E2B" w:rsidP="00FD0E2B">
      <w:pPr>
        <w:pStyle w:val="Blockquote"/>
        <w:numPr>
          <w:ilvl w:val="1"/>
          <w:numId w:val="40"/>
        </w:numPr>
        <w:spacing w:after="0"/>
        <w:ind w:left="2552"/>
        <w:jc w:val="both"/>
        <w:rPr>
          <w:sz w:val="22"/>
          <w:lang w:val="en-GB"/>
        </w:rPr>
      </w:pPr>
      <w:r w:rsidRPr="009018CD">
        <w:rPr>
          <w:sz w:val="22"/>
          <w:szCs w:val="22"/>
        </w:rPr>
        <w:t xml:space="preserve">concise balance sheets and profit&amp;loss account for the last 3 years (2016, 2017 and 2018).  </w:t>
      </w:r>
    </w:p>
    <w:p w14:paraId="2A7779FE" w14:textId="29FFB218" w:rsidR="00FD0E2B" w:rsidRPr="00D66EA3" w:rsidRDefault="00FD0E2B" w:rsidP="00FD0E2B">
      <w:pPr>
        <w:pStyle w:val="Blockquote"/>
        <w:numPr>
          <w:ilvl w:val="1"/>
          <w:numId w:val="40"/>
        </w:numPr>
        <w:spacing w:after="0"/>
        <w:ind w:left="2552"/>
        <w:jc w:val="both"/>
        <w:rPr>
          <w:sz w:val="22"/>
          <w:lang w:val="en-GB"/>
        </w:rPr>
      </w:pPr>
      <w:r w:rsidRPr="009018CD">
        <w:rPr>
          <w:sz w:val="22"/>
          <w:lang w:val="en-GB"/>
        </w:rPr>
        <w:t>If the prudential Report does not contain information on the days of liquidity in the last six months preceding the month in which the Call for Proposals was published on the</w:t>
      </w:r>
      <w:r w:rsidRPr="00D66EA3">
        <w:rPr>
          <w:sz w:val="22"/>
          <w:lang w:val="en-GB"/>
        </w:rPr>
        <w:t xml:space="preserve"> Portal, the </w:t>
      </w:r>
      <w:r w:rsidR="00D66EA3" w:rsidRPr="00D66EA3">
        <w:rPr>
          <w:sz w:val="22"/>
          <w:lang w:val="en-GB"/>
        </w:rPr>
        <w:t>Tenderer</w:t>
      </w:r>
      <w:r w:rsidRPr="00D66EA3">
        <w:rPr>
          <w:sz w:val="22"/>
          <w:lang w:val="en-GB"/>
        </w:rPr>
        <w:t xml:space="preserve"> shall submit the Certificate of the National Bank of Serbia that the </w:t>
      </w:r>
      <w:r w:rsidR="00D66EA3" w:rsidRPr="00D66EA3">
        <w:rPr>
          <w:sz w:val="22"/>
          <w:lang w:val="en-GB"/>
        </w:rPr>
        <w:t>tenderer</w:t>
      </w:r>
      <w:r w:rsidRPr="00D66EA3">
        <w:rPr>
          <w:sz w:val="22"/>
          <w:lang w:val="en-GB"/>
        </w:rPr>
        <w:t xml:space="preserve"> in the last six months preceding the month in which the Call for Proposals was published on the Public Procurement Portal, it was not illiquid.</w:t>
      </w:r>
    </w:p>
    <w:p w14:paraId="7A7D3403" w14:textId="77777777" w:rsidR="00FD0E2B" w:rsidRPr="00FD0E2B" w:rsidRDefault="00FD0E2B" w:rsidP="00FD0E2B">
      <w:pPr>
        <w:widowControl/>
        <w:spacing w:before="0" w:after="120"/>
        <w:ind w:left="1854"/>
        <w:jc w:val="both"/>
        <w:rPr>
          <w:sz w:val="22"/>
          <w:szCs w:val="22"/>
        </w:rPr>
      </w:pPr>
    </w:p>
    <w:p w14:paraId="0FC13A88" w14:textId="77777777"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02EF33B3" w14:textId="1B97B9E1" w:rsidR="00CC09A7" w:rsidRPr="00CC09A7" w:rsidRDefault="00CC09A7" w:rsidP="00CC09A7">
      <w:pPr>
        <w:ind w:left="1134" w:hanging="284"/>
        <w:jc w:val="both"/>
        <w:rPr>
          <w:sz w:val="22"/>
          <w:lang w:val="en-GB"/>
        </w:rPr>
      </w:pPr>
      <w:r w:rsidRPr="00CC09A7">
        <w:rPr>
          <w:sz w:val="22"/>
          <w:lang w:val="en-GB"/>
        </w:rPr>
        <w:t>•</w:t>
      </w:r>
      <w:r w:rsidRPr="00CC09A7">
        <w:rPr>
          <w:sz w:val="22"/>
          <w:lang w:val="en-GB"/>
        </w:rPr>
        <w:tab/>
      </w:r>
      <w:bookmarkStart w:id="2" w:name="_Hlk20146183"/>
      <w:r>
        <w:rPr>
          <w:sz w:val="22"/>
          <w:lang w:val="en-GB"/>
        </w:rPr>
        <w:t>Tenderer</w:t>
      </w:r>
      <w:r w:rsidRPr="00CC09A7">
        <w:rPr>
          <w:sz w:val="22"/>
          <w:lang w:val="en-GB"/>
        </w:rPr>
        <w:t xml:space="preserve"> must have completed </w:t>
      </w:r>
      <w:r w:rsidRPr="009018CD">
        <w:rPr>
          <w:sz w:val="22"/>
          <w:lang w:val="en-GB"/>
        </w:rPr>
        <w:t xml:space="preserve">at least </w:t>
      </w:r>
      <w:r w:rsidR="00CC37A4">
        <w:rPr>
          <w:sz w:val="22"/>
          <w:lang w:val="en-GB"/>
        </w:rPr>
        <w:t>3</w:t>
      </w:r>
      <w:r w:rsidRPr="009018CD">
        <w:rPr>
          <w:sz w:val="22"/>
          <w:lang w:val="en-GB"/>
        </w:rPr>
        <w:t xml:space="preserve"> projects of the same nature OR amount OR complexity as the works concerned by the tender and implemented during the following period: </w:t>
      </w:r>
      <w:r w:rsidR="004C1551" w:rsidRPr="009018CD">
        <w:rPr>
          <w:sz w:val="22"/>
          <w:lang w:val="en-GB"/>
        </w:rPr>
        <w:t xml:space="preserve">max </w:t>
      </w:r>
      <w:r w:rsidR="00CC37A4">
        <w:rPr>
          <w:sz w:val="22"/>
          <w:lang w:val="en-GB"/>
        </w:rPr>
        <w:t>5</w:t>
      </w:r>
      <w:bookmarkStart w:id="3" w:name="_GoBack"/>
      <w:bookmarkEnd w:id="3"/>
      <w:r w:rsidRPr="009018CD">
        <w:rPr>
          <w:sz w:val="22"/>
          <w:lang w:val="en-GB"/>
        </w:rPr>
        <w:t xml:space="preserve"> years</w:t>
      </w:r>
      <w:r w:rsidR="004C1551" w:rsidRPr="009018CD">
        <w:rPr>
          <w:sz w:val="22"/>
          <w:lang w:val="en-GB"/>
        </w:rPr>
        <w:t xml:space="preserve"> before</w:t>
      </w:r>
      <w:r w:rsidRPr="009018CD">
        <w:rPr>
          <w:sz w:val="22"/>
          <w:lang w:val="en-GB"/>
        </w:rPr>
        <w:t xml:space="preserve"> from the 31st </w:t>
      </w:r>
      <w:r w:rsidR="004C1551" w:rsidRPr="009018CD">
        <w:rPr>
          <w:sz w:val="22"/>
          <w:lang w:val="en-GB"/>
        </w:rPr>
        <w:t>Jun</w:t>
      </w:r>
      <w:r w:rsidRPr="009018CD">
        <w:rPr>
          <w:sz w:val="22"/>
          <w:lang w:val="en-GB"/>
        </w:rPr>
        <w:t xml:space="preserve"> 2019.</w:t>
      </w:r>
      <w:r w:rsidR="004C1551" w:rsidRPr="009018CD">
        <w:rPr>
          <w:sz w:val="22"/>
          <w:lang w:val="en-GB"/>
        </w:rPr>
        <w:t xml:space="preserve"> </w:t>
      </w:r>
      <w:r w:rsidRPr="009018CD">
        <w:rPr>
          <w:sz w:val="22"/>
          <w:lang w:val="en-GB"/>
        </w:rPr>
        <w:t xml:space="preserve"> The Contracting Authority reserves the right to ask for copies of certificates of final acceptance (“Zapisnik o tehničkom prijemu”) or final invoices (“Okončana situacija”) signed by the</w:t>
      </w:r>
      <w:r w:rsidRPr="00CC09A7">
        <w:rPr>
          <w:sz w:val="22"/>
          <w:lang w:val="en-GB"/>
        </w:rPr>
        <w:t xml:space="preserve"> supervisors OR contracting authority of the projects concerned.</w:t>
      </w:r>
      <w:r w:rsidR="004C1551">
        <w:rPr>
          <w:sz w:val="22"/>
          <w:lang w:val="en-GB"/>
        </w:rPr>
        <w:t xml:space="preserve"> </w:t>
      </w:r>
    </w:p>
    <w:p w14:paraId="2C5A4F9A" w14:textId="561B700A" w:rsidR="00CC09A7" w:rsidRPr="00CC09A7" w:rsidRDefault="00CC09A7" w:rsidP="00CC09A7">
      <w:pPr>
        <w:ind w:left="1134" w:hanging="284"/>
        <w:jc w:val="both"/>
        <w:rPr>
          <w:sz w:val="22"/>
          <w:lang w:val="en-GB"/>
        </w:rPr>
      </w:pPr>
      <w:r w:rsidRPr="00CC09A7">
        <w:rPr>
          <w:sz w:val="22"/>
          <w:lang w:val="en-GB"/>
        </w:rPr>
        <w:t>•</w:t>
      </w:r>
      <w:r w:rsidRPr="00CC09A7">
        <w:rPr>
          <w:sz w:val="22"/>
          <w:lang w:val="en-GB"/>
        </w:rPr>
        <w:tab/>
        <w:t>to have enough personnel capacity as follows :</w:t>
      </w:r>
    </w:p>
    <w:p w14:paraId="1FAC99AB" w14:textId="672E5D07" w:rsidR="00CC09A7" w:rsidRPr="00780A6B" w:rsidRDefault="00CC09A7" w:rsidP="00CC09A7">
      <w:pPr>
        <w:ind w:left="1134" w:hanging="284"/>
        <w:jc w:val="both"/>
        <w:rPr>
          <w:i/>
          <w:iCs/>
          <w:sz w:val="22"/>
          <w:lang w:val="en-GB"/>
        </w:rPr>
      </w:pPr>
      <w:r w:rsidRPr="00CC09A7">
        <w:rPr>
          <w:sz w:val="22"/>
          <w:lang w:val="en-GB"/>
        </w:rPr>
        <w:t>o</w:t>
      </w:r>
      <w:r w:rsidRPr="00CC09A7">
        <w:rPr>
          <w:sz w:val="22"/>
          <w:lang w:val="en-GB"/>
        </w:rPr>
        <w:tab/>
      </w:r>
      <w:r w:rsidRPr="009018CD">
        <w:rPr>
          <w:sz w:val="22"/>
          <w:lang w:val="en-GB"/>
        </w:rPr>
        <w:t xml:space="preserve">Minimum </w:t>
      </w:r>
      <w:r w:rsidR="00D66EA3" w:rsidRPr="009018CD">
        <w:rPr>
          <w:sz w:val="22"/>
          <w:lang w:val="en-GB"/>
        </w:rPr>
        <w:t>3</w:t>
      </w:r>
      <w:r w:rsidRPr="009018CD">
        <w:rPr>
          <w:sz w:val="22"/>
          <w:lang w:val="en-GB"/>
        </w:rPr>
        <w:t xml:space="preserve"> employees on limited or unlimited time; </w:t>
      </w:r>
      <w:r w:rsidRPr="009018CD">
        <w:rPr>
          <w:i/>
          <w:iCs/>
          <w:sz w:val="22"/>
          <w:lang w:val="en-GB"/>
        </w:rPr>
        <w:t xml:space="preserve">Proof - Extract from a single tax return for tax and deductible </w:t>
      </w:r>
      <w:r w:rsidR="009018CD" w:rsidRPr="009018CD">
        <w:rPr>
          <w:i/>
          <w:iCs/>
          <w:sz w:val="22"/>
          <w:lang w:val="en-GB"/>
        </w:rPr>
        <w:t>contributions,</w:t>
      </w:r>
      <w:r w:rsidRPr="009018CD">
        <w:rPr>
          <w:i/>
          <w:iCs/>
          <w:sz w:val="22"/>
          <w:lang w:val="en-GB"/>
        </w:rPr>
        <w:t xml:space="preserve"> (first page of Form PPP – PD) for the month preceding the month of the invitation to tender</w:t>
      </w:r>
      <w:r w:rsidR="00780A6B" w:rsidRPr="009018CD">
        <w:rPr>
          <w:i/>
          <w:iCs/>
          <w:sz w:val="22"/>
          <w:lang w:val="en-GB"/>
        </w:rPr>
        <w:t>, or Employment contract, or Temporary and casual contract</w:t>
      </w:r>
    </w:p>
    <w:p w14:paraId="0A82A444" w14:textId="4FD3CF74" w:rsidR="00CC09A7" w:rsidRPr="005B0448" w:rsidRDefault="00CC09A7" w:rsidP="005B0448">
      <w:pPr>
        <w:ind w:left="1134" w:hanging="284"/>
        <w:jc w:val="both"/>
        <w:rPr>
          <w:sz w:val="22"/>
          <w:highlight w:val="yellow"/>
          <w:lang w:val="en-GB"/>
        </w:rPr>
      </w:pPr>
      <w:r w:rsidRPr="00CC09A7">
        <w:rPr>
          <w:sz w:val="22"/>
          <w:lang w:val="en-GB"/>
        </w:rPr>
        <w:lastRenderedPageBreak/>
        <w:t>o</w:t>
      </w:r>
      <w:r w:rsidRPr="00CC09A7">
        <w:rPr>
          <w:sz w:val="22"/>
          <w:lang w:val="en-GB"/>
        </w:rPr>
        <w:tab/>
      </w:r>
      <w:r w:rsidRPr="009018CD">
        <w:rPr>
          <w:sz w:val="22"/>
          <w:lang w:val="en-GB"/>
        </w:rPr>
        <w:t xml:space="preserve">To have </w:t>
      </w:r>
      <w:r w:rsidR="005B0448" w:rsidRPr="009018CD">
        <w:rPr>
          <w:sz w:val="22"/>
          <w:lang w:val="en-GB"/>
        </w:rPr>
        <w:t>1</w:t>
      </w:r>
      <w:r w:rsidRPr="009018CD">
        <w:rPr>
          <w:sz w:val="22"/>
          <w:lang w:val="en-GB"/>
        </w:rPr>
        <w:t xml:space="preserve"> </w:t>
      </w:r>
      <w:r w:rsidRPr="009018CD">
        <w:rPr>
          <w:b/>
          <w:bCs/>
          <w:sz w:val="22"/>
          <w:lang w:val="en-GB"/>
        </w:rPr>
        <w:t>responsible contractors</w:t>
      </w:r>
      <w:r w:rsidRPr="009018CD">
        <w:rPr>
          <w:sz w:val="22"/>
          <w:lang w:val="en-GB"/>
        </w:rPr>
        <w:t xml:space="preserve"> -graduated engineer with personal license, on limited or unlimited time or contracted with personal license 8</w:t>
      </w:r>
      <w:r w:rsidR="00183568" w:rsidRPr="009018CD">
        <w:rPr>
          <w:sz w:val="22"/>
          <w:lang w:val="en-GB"/>
        </w:rPr>
        <w:t>00</w:t>
      </w:r>
      <w:r w:rsidRPr="009018CD">
        <w:rPr>
          <w:sz w:val="22"/>
          <w:lang w:val="en-GB"/>
        </w:rPr>
        <w:t xml:space="preserve"> or 410 or 41</w:t>
      </w:r>
      <w:r w:rsidR="00EA3B74" w:rsidRPr="009018CD">
        <w:rPr>
          <w:sz w:val="22"/>
          <w:lang w:val="en-GB"/>
        </w:rPr>
        <w:t>1</w:t>
      </w:r>
      <w:r w:rsidRPr="009018CD">
        <w:rPr>
          <w:sz w:val="22"/>
          <w:lang w:val="en-GB"/>
        </w:rPr>
        <w:t xml:space="preserve"> </w:t>
      </w:r>
    </w:p>
    <w:p w14:paraId="50E485BD" w14:textId="50C08F30" w:rsidR="00CC09A7" w:rsidRPr="00CC09A7" w:rsidRDefault="00780A6B" w:rsidP="00D66EA3">
      <w:pPr>
        <w:ind w:left="2552"/>
        <w:jc w:val="both"/>
        <w:rPr>
          <w:sz w:val="22"/>
          <w:lang w:val="en-GB"/>
        </w:rPr>
      </w:pPr>
      <w:r>
        <w:rPr>
          <w:sz w:val="22"/>
          <w:lang w:val="en-GB"/>
        </w:rPr>
        <w:t>Proof</w:t>
      </w:r>
      <w:r w:rsidR="00CC09A7" w:rsidRPr="00CC09A7">
        <w:rPr>
          <w:sz w:val="22"/>
          <w:lang w:val="en-GB"/>
        </w:rPr>
        <w:t>: a copy of a personal license issued by the Serbian Chamber of Engineers, a certificate on the validity of the license and evidence of working status</w:t>
      </w:r>
    </w:p>
    <w:p w14:paraId="73663932" w14:textId="77777777" w:rsidR="00CC09A7" w:rsidRPr="00CC09A7" w:rsidRDefault="00CC09A7" w:rsidP="00D66EA3">
      <w:pPr>
        <w:ind w:left="2552" w:hanging="1"/>
        <w:jc w:val="both"/>
        <w:rPr>
          <w:sz w:val="22"/>
          <w:lang w:val="en-GB"/>
        </w:rPr>
      </w:pPr>
      <w:r w:rsidRPr="00CC09A7">
        <w:rPr>
          <w:sz w:val="22"/>
          <w:lang w:val="en-GB"/>
        </w:rPr>
        <w:t>Qualifications and licence relevant to works of a similar nature to this project,  according and/or  comparable  to Law on Planning and Construction of Republic of  Serbia  (“Official gazette” of Republic of Serbia no. 72/09, 81/09, 64/10 and 24/11, 121/12, 42/13, 50/13 and 98/13, 132/2014, 145/2014, 83/2018, 31/2019 i 37/2019 )</w:t>
      </w:r>
    </w:p>
    <w:p w14:paraId="33AD340B" w14:textId="4FC17E3A" w:rsidR="00CC09A7" w:rsidRDefault="00477E9E" w:rsidP="00B70C54">
      <w:pPr>
        <w:ind w:left="851" w:hanging="1"/>
        <w:jc w:val="both"/>
        <w:rPr>
          <w:sz w:val="22"/>
          <w:lang w:val="en-GB"/>
        </w:rPr>
      </w:pPr>
      <w:r w:rsidRPr="009018CD">
        <w:rPr>
          <w:i/>
          <w:iCs/>
          <w:sz w:val="22"/>
          <w:szCs w:val="22"/>
        </w:rPr>
        <w:t xml:space="preserve">The mentioned  requirements for the human capacity  must be proven by fully describing  equipment   with the tender Form 4.6.1.2 and Form 4.6.1.3 in Volume 1, section 4 of the tender dossier with attached </w:t>
      </w:r>
      <w:r w:rsidR="00CC09A7" w:rsidRPr="009018CD">
        <w:rPr>
          <w:sz w:val="22"/>
          <w:lang w:val="en-GB"/>
        </w:rPr>
        <w:t xml:space="preserve">proofs of engagement for </w:t>
      </w:r>
      <w:r w:rsidR="00780A6B" w:rsidRPr="009018CD">
        <w:rPr>
          <w:b/>
          <w:bCs/>
          <w:sz w:val="22"/>
          <w:lang w:val="en-GB"/>
        </w:rPr>
        <w:t>personnel capacity</w:t>
      </w:r>
      <w:r w:rsidR="00780A6B" w:rsidRPr="009018CD">
        <w:rPr>
          <w:sz w:val="22"/>
          <w:lang w:val="en-GB"/>
        </w:rPr>
        <w:t xml:space="preserve"> </w:t>
      </w:r>
      <w:r w:rsidR="00CC09A7" w:rsidRPr="009018CD">
        <w:rPr>
          <w:sz w:val="22"/>
          <w:lang w:val="en-GB"/>
        </w:rPr>
        <w:t>– copy of working log book or some other contract (Service Contract (“Ugovor o delu”), Service Contract on temporary and intermittent works (“Ugovor o obavljanju</w:t>
      </w:r>
      <w:r w:rsidR="00CC09A7" w:rsidRPr="00CC09A7">
        <w:rPr>
          <w:sz w:val="22"/>
          <w:lang w:val="en-GB"/>
        </w:rPr>
        <w:t xml:space="preserve"> privremenih i povremenih poslova”)…) that proofs that the person shall be engaged for this Contract, plus the Statement that the engaged expert shall be available for this Contract under procurement.  If, in the engagement contract, is not mentioned explicitly this Contract under this procurement, than the engagement should be annexed and signed by both parties stating that the engaged expert shall be available for this Contract.</w:t>
      </w:r>
    </w:p>
    <w:p w14:paraId="7E2874F6" w14:textId="013A5171" w:rsidR="00780A6B" w:rsidRDefault="00780A6B" w:rsidP="00477E9E">
      <w:pPr>
        <w:pStyle w:val="PRAGHeading2"/>
        <w:numPr>
          <w:ilvl w:val="0"/>
          <w:numId w:val="46"/>
        </w:numPr>
        <w:spacing w:before="0" w:after="0"/>
        <w:ind w:left="1134" w:hanging="283"/>
        <w:jc w:val="both"/>
        <w:rPr>
          <w:b/>
          <w:sz w:val="22"/>
          <w:szCs w:val="22"/>
          <w:lang w:val="en-US"/>
        </w:rPr>
      </w:pPr>
      <w:r w:rsidRPr="00536C23">
        <w:rPr>
          <w:b/>
          <w:sz w:val="22"/>
          <w:szCs w:val="22"/>
          <w:lang w:val="en-US"/>
        </w:rPr>
        <w:t>The tenderer must have the necessary technical capacity, i.e. machines, equipment, to fulfil the works.</w:t>
      </w:r>
      <w:r w:rsidRPr="00536C23">
        <w:rPr>
          <w:b/>
          <w:sz w:val="22"/>
          <w:szCs w:val="22"/>
        </w:rPr>
        <w:t xml:space="preserve"> </w:t>
      </w:r>
      <w:r w:rsidRPr="00536C23">
        <w:rPr>
          <w:b/>
          <w:sz w:val="22"/>
          <w:szCs w:val="22"/>
          <w:lang w:val="en-US"/>
        </w:rPr>
        <w:t xml:space="preserve">If the tenderer does not have the necessary equipment, he must declare that he will hire it and the minimum must include:  </w:t>
      </w:r>
    </w:p>
    <w:p w14:paraId="711BF44E" w14:textId="77777777" w:rsidR="00780A6B" w:rsidRPr="00536C23" w:rsidRDefault="00780A6B" w:rsidP="00780A6B">
      <w:pPr>
        <w:pStyle w:val="PRAGHeading2"/>
        <w:numPr>
          <w:ilvl w:val="0"/>
          <w:numId w:val="0"/>
        </w:numPr>
        <w:spacing w:before="0" w:after="0"/>
        <w:ind w:left="851"/>
        <w:jc w:val="both"/>
        <w:rPr>
          <w:b/>
          <w:sz w:val="22"/>
          <w:szCs w:val="22"/>
        </w:rPr>
      </w:pPr>
    </w:p>
    <w:p w14:paraId="587846C0" w14:textId="5A5AC5C6" w:rsidR="00780A6B" w:rsidRPr="009018CD" w:rsidRDefault="00780A6B" w:rsidP="00780A6B">
      <w:pPr>
        <w:numPr>
          <w:ilvl w:val="0"/>
          <w:numId w:val="45"/>
        </w:numPr>
        <w:spacing w:after="0"/>
        <w:jc w:val="both"/>
        <w:rPr>
          <w:b/>
          <w:i/>
          <w:szCs w:val="24"/>
        </w:rPr>
      </w:pPr>
      <w:r w:rsidRPr="009018CD">
        <w:rPr>
          <w:b/>
          <w:bCs/>
          <w:i/>
        </w:rPr>
        <w:t xml:space="preserve">1 </w:t>
      </w:r>
      <w:r w:rsidR="00477E9E" w:rsidRPr="009018CD">
        <w:rPr>
          <w:b/>
          <w:bCs/>
          <w:i/>
        </w:rPr>
        <w:t>a small delivery vehicle</w:t>
      </w:r>
    </w:p>
    <w:p w14:paraId="193F1BAE" w14:textId="77777777" w:rsidR="00780A6B" w:rsidRPr="00536C23" w:rsidRDefault="00780A6B" w:rsidP="00780A6B">
      <w:pPr>
        <w:spacing w:after="0"/>
        <w:ind w:left="1440"/>
        <w:jc w:val="both"/>
        <w:rPr>
          <w:b/>
          <w:color w:val="FF0000"/>
          <w:sz w:val="22"/>
          <w:szCs w:val="22"/>
        </w:rPr>
      </w:pPr>
    </w:p>
    <w:p w14:paraId="25159337" w14:textId="77777777" w:rsidR="00780A6B" w:rsidRPr="00477E9E" w:rsidRDefault="00780A6B" w:rsidP="00780A6B">
      <w:pPr>
        <w:ind w:left="851"/>
        <w:jc w:val="both"/>
        <w:rPr>
          <w:i/>
          <w:iCs/>
          <w:sz w:val="22"/>
          <w:szCs w:val="22"/>
        </w:rPr>
      </w:pPr>
      <w:r w:rsidRPr="00536C23">
        <w:rPr>
          <w:sz w:val="22"/>
          <w:szCs w:val="22"/>
        </w:rPr>
        <w:t xml:space="preserve">       </w:t>
      </w:r>
      <w:r w:rsidRPr="009018CD">
        <w:rPr>
          <w:i/>
          <w:iCs/>
          <w:sz w:val="22"/>
          <w:szCs w:val="22"/>
        </w:rPr>
        <w:t>The mentioned  requirements for the tecnical capacity  must be proven by fully describing  equipment   with the tender Form 4.6.2 in Volume 1, section 4 of the tender dossier with attached Manufacturer’s documents, which  indicate whether this equipment is owned, hired or used by a subcontractor.</w:t>
      </w:r>
      <w:r w:rsidRPr="00477E9E">
        <w:rPr>
          <w:i/>
          <w:iCs/>
          <w:sz w:val="22"/>
          <w:szCs w:val="22"/>
        </w:rPr>
        <w:t xml:space="preserve"> </w:t>
      </w:r>
    </w:p>
    <w:bookmarkEnd w:id="2"/>
    <w:p w14:paraId="47BD76E0" w14:textId="6AED32CE" w:rsidR="00780A6B" w:rsidRDefault="00780A6B" w:rsidP="00780A6B">
      <w:pPr>
        <w:widowControl/>
        <w:autoSpaceDE w:val="0"/>
        <w:autoSpaceDN w:val="0"/>
        <w:adjustRightInd w:val="0"/>
        <w:spacing w:before="0" w:after="0"/>
        <w:ind w:left="720"/>
        <w:jc w:val="both"/>
        <w:rPr>
          <w:sz w:val="22"/>
          <w:szCs w:val="22"/>
        </w:rPr>
      </w:pPr>
      <w:r>
        <w:rPr>
          <w:sz w:val="22"/>
          <w:szCs w:val="22"/>
        </w:rPr>
        <w:t xml:space="preserve">               </w:t>
      </w:r>
      <w:r w:rsidRPr="00FB2BFA">
        <w:rPr>
          <w:sz w:val="22"/>
          <w:szCs w:val="22"/>
        </w:rPr>
        <w:t xml:space="preserve">If a tender is submitted by a consortium the selection criteria for </w:t>
      </w:r>
      <w:r w:rsidRPr="00FB2BFA">
        <w:rPr>
          <w:sz w:val="22"/>
          <w:szCs w:val="22"/>
          <w:lang w:val="en-GB"/>
        </w:rPr>
        <w:t xml:space="preserve">technical and professional </w:t>
      </w:r>
      <w:r w:rsidRPr="00FB2BFA">
        <w:rPr>
          <w:sz w:val="22"/>
          <w:szCs w:val="22"/>
        </w:rPr>
        <w:t>capacity</w:t>
      </w:r>
      <w:r w:rsidRPr="00FB2BFA">
        <w:rPr>
          <w:b/>
          <w:i/>
          <w:sz w:val="22"/>
          <w:szCs w:val="22"/>
        </w:rPr>
        <w:t xml:space="preserve"> </w:t>
      </w:r>
      <w:r w:rsidRPr="00FB2BFA">
        <w:rPr>
          <w:sz w:val="22"/>
          <w:szCs w:val="22"/>
        </w:rPr>
        <w:t>will be applied</w:t>
      </w:r>
      <w:r>
        <w:rPr>
          <w:sz w:val="22"/>
          <w:szCs w:val="22"/>
        </w:rPr>
        <w:t xml:space="preserve"> for the consortium as a whole</w:t>
      </w:r>
      <w:r w:rsidRPr="00FB2BFA">
        <w:rPr>
          <w:sz w:val="22"/>
          <w:szCs w:val="22"/>
        </w:rPr>
        <w:t>.</w:t>
      </w:r>
    </w:p>
    <w:p w14:paraId="28C2ED51" w14:textId="77777777" w:rsidR="00B31204" w:rsidRDefault="00B31204" w:rsidP="00780A6B">
      <w:pPr>
        <w:widowControl/>
        <w:autoSpaceDE w:val="0"/>
        <w:autoSpaceDN w:val="0"/>
        <w:adjustRightInd w:val="0"/>
        <w:spacing w:before="0" w:after="0"/>
        <w:ind w:left="720"/>
        <w:jc w:val="both"/>
        <w:rPr>
          <w:sz w:val="22"/>
          <w:szCs w:val="22"/>
        </w:rPr>
      </w:pPr>
    </w:p>
    <w:p w14:paraId="16B24DA9" w14:textId="77777777" w:rsidR="00833DA6" w:rsidRPr="00BB32C7" w:rsidRDefault="00833DA6" w:rsidP="00833DA6">
      <w:pPr>
        <w:ind w:left="1134" w:hanging="284"/>
        <w:jc w:val="both"/>
        <w:rPr>
          <w:sz w:val="22"/>
          <w:u w:val="single"/>
          <w:lang w:val="en-GB"/>
        </w:rPr>
      </w:pPr>
      <w:r w:rsidRPr="00BB32C7">
        <w:rPr>
          <w:sz w:val="22"/>
          <w:u w:val="single"/>
          <w:lang w:val="en-GB"/>
        </w:rPr>
        <w:t>Capacity-providing entities:</w:t>
      </w:r>
    </w:p>
    <w:p w14:paraId="515A00B2" w14:textId="77777777" w:rsidR="00833DA6" w:rsidRPr="00833DA6" w:rsidRDefault="00833DA6" w:rsidP="00B70C54">
      <w:pPr>
        <w:ind w:left="851" w:hanging="1"/>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04D97E44" w14:textId="77777777"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26CDA2C3" w14:textId="77777777" w:rsidR="00833DA6" w:rsidRDefault="00833DA6" w:rsidP="00833DA6">
      <w:pPr>
        <w:ind w:left="1134" w:hanging="284"/>
        <w:jc w:val="both"/>
        <w:rPr>
          <w:sz w:val="22"/>
          <w:highlight w:val="yellow"/>
          <w:lang w:val="en-GB"/>
        </w:rPr>
      </w:pPr>
      <w:r w:rsidRPr="00833DA6">
        <w:rPr>
          <w:sz w:val="22"/>
          <w:lang w:val="en-GB"/>
        </w:rPr>
        <w:lastRenderedPageBreak/>
        <w:t>With regard to economic and financial criteria, the entities upon whose capacity the tenderer relies, become jointly and severally liable for the performance of the contract.</w:t>
      </w:r>
    </w:p>
    <w:p w14:paraId="39E9E530" w14:textId="5CD21DAF" w:rsidR="008A0A49" w:rsidRDefault="008A0A49" w:rsidP="00477E9E">
      <w:pPr>
        <w:ind w:left="1134" w:hanging="284"/>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w:t>
      </w:r>
      <w:r w:rsidRPr="00477E9E">
        <w:rPr>
          <w:sz w:val="22"/>
          <w:lang w:val="en-GB"/>
        </w:rPr>
        <w:t>criteria</w:t>
      </w:r>
      <w:r>
        <w:rPr>
          <w:lang w:val="en-GB"/>
        </w:rPr>
        <w:t xml:space="preserve"> must be </w:t>
      </w:r>
      <w:r w:rsidRPr="002527BF">
        <w:rPr>
          <w:lang w:val="en-GB"/>
        </w:rPr>
        <w:t>expressed in</w:t>
      </w:r>
      <w:r w:rsidR="00CC09A7" w:rsidRPr="002527BF">
        <w:rPr>
          <w:lang w:val="en-GB"/>
        </w:rPr>
        <w:t xml:space="preserve"> RSD</w:t>
      </w:r>
      <w:r w:rsidRPr="002527BF">
        <w:rPr>
          <w:lang w:val="en-GB"/>
        </w:rPr>
        <w:t>. If applicable, where a candidate refers to amounts originally expressed in a different currency, the conversion to</w:t>
      </w:r>
      <w:r w:rsidR="00CC09A7" w:rsidRPr="002527BF">
        <w:rPr>
          <w:lang w:val="en-GB"/>
        </w:rPr>
        <w:t xml:space="preserve"> RSD </w:t>
      </w:r>
      <w:r w:rsidRPr="002527BF">
        <w:rPr>
          <w:lang w:val="en-GB"/>
        </w:rPr>
        <w:t xml:space="preserve">shall be made in accordance with the InforEuro exchange rate of </w:t>
      </w:r>
      <w:r w:rsidR="00CC09A7" w:rsidRPr="002527BF">
        <w:rPr>
          <w:lang w:val="en-GB"/>
        </w:rPr>
        <w:t xml:space="preserve"> </w:t>
      </w:r>
      <w:r w:rsidR="002527BF">
        <w:rPr>
          <w:lang w:val="en-GB"/>
        </w:rPr>
        <w:t>September</w:t>
      </w:r>
      <w:r w:rsidR="00CC09A7" w:rsidRPr="002527BF">
        <w:rPr>
          <w:lang w:val="en-GB"/>
        </w:rPr>
        <w:t xml:space="preserve"> 2019</w:t>
      </w:r>
      <w:r w:rsidRPr="002527BF">
        <w:rPr>
          <w:lang w:val="en-GB"/>
        </w:rPr>
        <w:t>,</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14:paraId="577549CA" w14:textId="77777777" w:rsidR="00477E9E" w:rsidRDefault="00477E9E" w:rsidP="00477E9E">
      <w:pPr>
        <w:jc w:val="both"/>
        <w:rPr>
          <w:i/>
          <w:sz w:val="22"/>
          <w:szCs w:val="22"/>
        </w:rPr>
      </w:pPr>
    </w:p>
    <w:p w14:paraId="5D0A2DD0" w14:textId="499CAB57" w:rsidR="00833DA6" w:rsidRPr="00477E9E" w:rsidRDefault="00477E9E" w:rsidP="00477E9E">
      <w:pPr>
        <w:ind w:left="567"/>
        <w:jc w:val="both"/>
        <w:rPr>
          <w:b/>
          <w:bCs/>
          <w:i/>
          <w:sz w:val="22"/>
          <w:szCs w:val="22"/>
        </w:rPr>
      </w:pPr>
      <w:r w:rsidRPr="00477E9E">
        <w:rPr>
          <w:b/>
          <w:bCs/>
          <w:i/>
          <w:sz w:val="22"/>
          <w:szCs w:val="22"/>
        </w:rPr>
        <w:t xml:space="preserve">If a tender is submitted by a consortium the selection criteria of point 14.b.3 for </w:t>
      </w:r>
      <w:r w:rsidRPr="00477E9E">
        <w:rPr>
          <w:b/>
          <w:bCs/>
          <w:i/>
          <w:sz w:val="22"/>
          <w:szCs w:val="22"/>
          <w:lang w:val="en-GB"/>
        </w:rPr>
        <w:t xml:space="preserve">technical and professional </w:t>
      </w:r>
      <w:r w:rsidRPr="00477E9E">
        <w:rPr>
          <w:b/>
          <w:bCs/>
          <w:i/>
          <w:sz w:val="22"/>
          <w:szCs w:val="22"/>
        </w:rPr>
        <w:t>capacity will be applied for the consortium as a whole</w:t>
      </w:r>
    </w:p>
    <w:p w14:paraId="1A660418" w14:textId="77777777" w:rsidR="00477E9E" w:rsidRDefault="00477E9E" w:rsidP="00477E9E">
      <w:pPr>
        <w:jc w:val="both"/>
        <w:rPr>
          <w:sz w:val="22"/>
          <w:highlight w:val="yellow"/>
          <w:lang w:val="en-GB"/>
        </w:rPr>
      </w:pPr>
    </w:p>
    <w:p w14:paraId="6A8C7A6C"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2A4176B9" w14:textId="77777777" w:rsidR="00492F3A" w:rsidRPr="00492F3A" w:rsidRDefault="00492F3A" w:rsidP="00CC09A7">
      <w:pPr>
        <w:ind w:left="426"/>
        <w:jc w:val="both"/>
        <w:rPr>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2C7469DB" w14:textId="77777777" w:rsidR="002139C6" w:rsidRPr="00DD2F41" w:rsidRDefault="00C07AFA" w:rsidP="0076200F">
      <w:pPr>
        <w:jc w:val="both"/>
        <w:rPr>
          <w:sz w:val="22"/>
          <w:szCs w:val="22"/>
          <w:lang w:val="en-GB"/>
        </w:rPr>
      </w:pPr>
      <w:r>
        <w:rPr>
          <w:snapToGrid/>
          <w:sz w:val="22"/>
          <w:szCs w:val="22"/>
          <w:lang w:val="en-GB"/>
        </w:rPr>
        <w:pict w14:anchorId="36A11D72">
          <v:line id="_x0000_s1027" style="position:absolute;left:0;text-align:left;z-index:2" from="0,12pt" to="468pt,12.05pt" o:allowincell="f" strokecolor="#d4d4d4" strokeweight="1.75pt">
            <v:shadow on="t" origin=",32385f" offset="0,-1pt"/>
          </v:line>
        </w:pict>
      </w:r>
    </w:p>
    <w:p w14:paraId="090DB773"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6E4375CA"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2D0ABD5F"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100FAA13"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14:paraId="43FC5619" w14:textId="77777777" w:rsidR="00CC09A7" w:rsidRPr="005D14BF" w:rsidRDefault="00CC09A7" w:rsidP="00CC09A7">
      <w:pPr>
        <w:pStyle w:val="PRAGHeading2"/>
        <w:numPr>
          <w:ilvl w:val="0"/>
          <w:numId w:val="0"/>
        </w:numPr>
        <w:ind w:left="709"/>
        <w:rPr>
          <w:lang w:val="en-US"/>
        </w:rPr>
      </w:pPr>
      <w:r w:rsidRPr="003E0D64">
        <w:rPr>
          <w:lang w:val="en-US"/>
        </w:rPr>
        <w:t>Regulation</w:t>
      </w:r>
      <w:r w:rsidRPr="003E0D64">
        <w:rPr>
          <w:b/>
          <w:bCs/>
          <w:lang w:val="en-US"/>
        </w:rPr>
        <w:t xml:space="preserve"> </w:t>
      </w:r>
      <w:r w:rsidRPr="003E0D64">
        <w:rPr>
          <w:lang w:val="en-US"/>
        </w:rPr>
        <w:t>(EU) No </w:t>
      </w:r>
      <w:r w:rsidRPr="003E0D64">
        <w:rPr>
          <w:lang w:val="en-US" w:eastAsia="ja-JP"/>
        </w:rPr>
        <w:t xml:space="preserve">236/2014 of the European Parliament and of the Council of 11 March 2014 laying down common rules and procedures for the implementation of the Union's instruments for financing external action and Interreg – IPA-CBC Bulgaria-Serbia Programme, CCI № 2014TC16I5CB007-2 </w:t>
      </w:r>
      <w:r w:rsidRPr="003E0D64">
        <w:rPr>
          <w:lang w:val="en-US"/>
        </w:rPr>
        <w:t>(e.g. DCI, ENPI, ENI, Ifs) - See Annex A2 of the practical guide.</w:t>
      </w:r>
    </w:p>
    <w:p w14:paraId="427FC397" w14:textId="77777777" w:rsidR="003C3139" w:rsidRPr="00DD2F41" w:rsidRDefault="003C3139" w:rsidP="0076200F">
      <w:pPr>
        <w:pStyle w:val="PRAGHeading2"/>
        <w:jc w:val="both"/>
        <w:rPr>
          <w:rStyle w:val="Strong"/>
          <w:sz w:val="22"/>
          <w:szCs w:val="22"/>
          <w:lang w:val="en-GB"/>
        </w:rPr>
      </w:pPr>
      <w:r>
        <w:rPr>
          <w:rStyle w:val="Strong"/>
          <w:sz w:val="22"/>
          <w:szCs w:val="22"/>
          <w:lang w:val="en-GB"/>
        </w:rPr>
        <w:t>Appeals</w:t>
      </w:r>
    </w:p>
    <w:p w14:paraId="3A7F4EC6"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sectPr w:rsidR="003C3139" w:rsidSect="00FD0E2B">
      <w:footerReference w:type="default" r:id="rId9"/>
      <w:pgSz w:w="12240" w:h="15840" w:code="1"/>
      <w:pgMar w:top="993"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4A7F0" w14:textId="77777777" w:rsidR="00C07AFA" w:rsidRDefault="00C07AFA">
      <w:r>
        <w:separator/>
      </w:r>
    </w:p>
  </w:endnote>
  <w:endnote w:type="continuationSeparator" w:id="0">
    <w:p w14:paraId="520912DD" w14:textId="77777777" w:rsidR="00C07AFA" w:rsidRDefault="00C0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789E1" w14:textId="77777777" w:rsidR="00B640CA" w:rsidRPr="000F07CD" w:rsidRDefault="0025570B" w:rsidP="009B4A52">
    <w:pPr>
      <w:pStyle w:val="Footer"/>
      <w:tabs>
        <w:tab w:val="clear" w:pos="4536"/>
        <w:tab w:val="clear" w:pos="9072"/>
        <w:tab w:val="right" w:pos="9356"/>
      </w:tabs>
      <w:spacing w:before="0" w:after="0"/>
      <w:rPr>
        <w:rStyle w:val="PageNumber"/>
        <w:sz w:val="18"/>
        <w:szCs w:val="18"/>
        <w:lang w:val="en-GB"/>
      </w:rPr>
    </w:pPr>
    <w:r w:rsidRPr="00BB32C7">
      <w:rPr>
        <w:b/>
        <w:sz w:val="18"/>
        <w:lang w:val="en-GB"/>
      </w:rPr>
      <w:t>July 2019</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BB32C7">
      <w:rPr>
        <w:rStyle w:val="PageNumber"/>
        <w:noProof/>
        <w:sz w:val="18"/>
        <w:szCs w:val="18"/>
        <w:lang w:val="en-GB"/>
      </w:rPr>
      <w:t>1</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BB32C7">
      <w:rPr>
        <w:rStyle w:val="PageNumber"/>
        <w:noProof/>
        <w:sz w:val="18"/>
        <w:szCs w:val="18"/>
        <w:lang w:val="en-GB"/>
      </w:rPr>
      <w:t>7</w:t>
    </w:r>
    <w:r w:rsidR="00B640CA" w:rsidRPr="009B4A52">
      <w:rPr>
        <w:rStyle w:val="PageNumber"/>
        <w:sz w:val="18"/>
        <w:szCs w:val="18"/>
      </w:rPr>
      <w:fldChar w:fldCharType="end"/>
    </w:r>
  </w:p>
  <w:p w14:paraId="23216B2F" w14:textId="050695F9"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FD0E2B">
      <w:rPr>
        <w:noProof/>
        <w:sz w:val="18"/>
        <w:szCs w:val="18"/>
        <w:lang w:val="en-GB"/>
      </w:rPr>
      <w:t>ds2_contractnotice_simpl_en</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875B6" w14:textId="77777777" w:rsidR="00C07AFA" w:rsidRDefault="00C07AFA">
      <w:r>
        <w:separator/>
      </w:r>
    </w:p>
  </w:footnote>
  <w:footnote w:type="continuationSeparator" w:id="0">
    <w:p w14:paraId="0927BD5F" w14:textId="77777777" w:rsidR="00C07AFA" w:rsidRDefault="00C07AFA">
      <w:r>
        <w:continuationSeparator/>
      </w:r>
    </w:p>
  </w:footnote>
  <w:footnote w:id="1">
    <w:p w14:paraId="2887059B" w14:textId="77777777"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5524CFA"/>
    <w:multiLevelType w:val="hybridMultilevel"/>
    <w:tmpl w:val="9A8A3F90"/>
    <w:lvl w:ilvl="0" w:tplc="241A0001">
      <w:start w:val="1"/>
      <w:numFmt w:val="bullet"/>
      <w:lvlText w:val=""/>
      <w:lvlJc w:val="left"/>
      <w:pPr>
        <w:ind w:left="1571" w:hanging="360"/>
      </w:pPr>
      <w:rPr>
        <w:rFonts w:ascii="Symbol" w:hAnsi="Symbol" w:hint="default"/>
      </w:rPr>
    </w:lvl>
    <w:lvl w:ilvl="1" w:tplc="241A0003" w:tentative="1">
      <w:start w:val="1"/>
      <w:numFmt w:val="bullet"/>
      <w:lvlText w:val="o"/>
      <w:lvlJc w:val="left"/>
      <w:pPr>
        <w:ind w:left="2291" w:hanging="360"/>
      </w:pPr>
      <w:rPr>
        <w:rFonts w:ascii="Courier New" w:hAnsi="Courier New" w:cs="Courier New" w:hint="default"/>
      </w:rPr>
    </w:lvl>
    <w:lvl w:ilvl="2" w:tplc="241A0005" w:tentative="1">
      <w:start w:val="1"/>
      <w:numFmt w:val="bullet"/>
      <w:lvlText w:val=""/>
      <w:lvlJc w:val="left"/>
      <w:pPr>
        <w:ind w:left="3011" w:hanging="360"/>
      </w:pPr>
      <w:rPr>
        <w:rFonts w:ascii="Wingdings" w:hAnsi="Wingdings" w:hint="default"/>
      </w:rPr>
    </w:lvl>
    <w:lvl w:ilvl="3" w:tplc="241A0001" w:tentative="1">
      <w:start w:val="1"/>
      <w:numFmt w:val="bullet"/>
      <w:lvlText w:val=""/>
      <w:lvlJc w:val="left"/>
      <w:pPr>
        <w:ind w:left="3731" w:hanging="360"/>
      </w:pPr>
      <w:rPr>
        <w:rFonts w:ascii="Symbol" w:hAnsi="Symbol" w:hint="default"/>
      </w:rPr>
    </w:lvl>
    <w:lvl w:ilvl="4" w:tplc="241A0003" w:tentative="1">
      <w:start w:val="1"/>
      <w:numFmt w:val="bullet"/>
      <w:lvlText w:val="o"/>
      <w:lvlJc w:val="left"/>
      <w:pPr>
        <w:ind w:left="4451" w:hanging="360"/>
      </w:pPr>
      <w:rPr>
        <w:rFonts w:ascii="Courier New" w:hAnsi="Courier New" w:cs="Courier New" w:hint="default"/>
      </w:rPr>
    </w:lvl>
    <w:lvl w:ilvl="5" w:tplc="241A0005" w:tentative="1">
      <w:start w:val="1"/>
      <w:numFmt w:val="bullet"/>
      <w:lvlText w:val=""/>
      <w:lvlJc w:val="left"/>
      <w:pPr>
        <w:ind w:left="5171" w:hanging="360"/>
      </w:pPr>
      <w:rPr>
        <w:rFonts w:ascii="Wingdings" w:hAnsi="Wingdings" w:hint="default"/>
      </w:rPr>
    </w:lvl>
    <w:lvl w:ilvl="6" w:tplc="241A0001" w:tentative="1">
      <w:start w:val="1"/>
      <w:numFmt w:val="bullet"/>
      <w:lvlText w:val=""/>
      <w:lvlJc w:val="left"/>
      <w:pPr>
        <w:ind w:left="5891" w:hanging="360"/>
      </w:pPr>
      <w:rPr>
        <w:rFonts w:ascii="Symbol" w:hAnsi="Symbol" w:hint="default"/>
      </w:rPr>
    </w:lvl>
    <w:lvl w:ilvl="7" w:tplc="241A0003" w:tentative="1">
      <w:start w:val="1"/>
      <w:numFmt w:val="bullet"/>
      <w:lvlText w:val="o"/>
      <w:lvlJc w:val="left"/>
      <w:pPr>
        <w:ind w:left="6611" w:hanging="360"/>
      </w:pPr>
      <w:rPr>
        <w:rFonts w:ascii="Courier New" w:hAnsi="Courier New" w:cs="Courier New" w:hint="default"/>
      </w:rPr>
    </w:lvl>
    <w:lvl w:ilvl="8" w:tplc="241A0005" w:tentative="1">
      <w:start w:val="1"/>
      <w:numFmt w:val="bullet"/>
      <w:lvlText w:val=""/>
      <w:lvlJc w:val="left"/>
      <w:pPr>
        <w:ind w:left="7331" w:hanging="360"/>
      </w:pPr>
      <w:rPr>
        <w:rFonts w:ascii="Wingdings" w:hAnsi="Wingdings" w:hint="default"/>
      </w:rPr>
    </w:lvl>
  </w:abstractNum>
  <w:abstractNum w:abstractNumId="3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5" w15:restartNumberingAfterBreak="0">
    <w:nsid w:val="39B6296E"/>
    <w:multiLevelType w:val="hybridMultilevel"/>
    <w:tmpl w:val="2918ED6E"/>
    <w:lvl w:ilvl="0" w:tplc="08090001">
      <w:start w:val="1"/>
      <w:numFmt w:val="bullet"/>
      <w:lvlText w:val=""/>
      <w:lvlJc w:val="left"/>
      <w:pPr>
        <w:ind w:left="1854" w:hanging="360"/>
      </w:pPr>
      <w:rPr>
        <w:rFonts w:ascii="Symbol" w:hAnsi="Symbol" w:hint="default"/>
      </w:rPr>
    </w:lvl>
    <w:lvl w:ilvl="1" w:tplc="04090001">
      <w:start w:val="1"/>
      <w:numFmt w:val="bullet"/>
      <w:lvlText w:val=""/>
      <w:lvlJc w:val="left"/>
      <w:pPr>
        <w:ind w:left="2574" w:hanging="360"/>
      </w:pPr>
      <w:rPr>
        <w:rFonts w:ascii="Symbol" w:hAnsi="Symbol"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1"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2" w15:restartNumberingAfterBreak="0">
    <w:nsid w:val="75C85C9B"/>
    <w:multiLevelType w:val="hybridMultilevel"/>
    <w:tmpl w:val="1AF69B02"/>
    <w:lvl w:ilvl="0" w:tplc="04090009">
      <w:start w:val="1"/>
      <w:numFmt w:val="bullet"/>
      <w:lvlText w:val=""/>
      <w:lvlJc w:val="left"/>
      <w:pPr>
        <w:ind w:left="1495" w:hanging="360"/>
      </w:pPr>
      <w:rPr>
        <w:rFonts w:ascii="Wingdings" w:hAnsi="Wingdings"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43"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40"/>
  </w:num>
  <w:num w:numId="33">
    <w:abstractNumId w:val="39"/>
  </w:num>
  <w:num w:numId="34">
    <w:abstractNumId w:val="28"/>
    <w:lvlOverride w:ilvl="0">
      <w:startOverride w:val="1"/>
    </w:lvlOverride>
  </w:num>
  <w:num w:numId="35">
    <w:abstractNumId w:val="38"/>
  </w:num>
  <w:num w:numId="36">
    <w:abstractNumId w:val="30"/>
  </w:num>
  <w:num w:numId="37">
    <w:abstractNumId w:val="31"/>
  </w:num>
  <w:num w:numId="38">
    <w:abstractNumId w:val="28"/>
    <w:lvlOverride w:ilvl="0">
      <w:startOverride w:val="1"/>
    </w:lvlOverride>
  </w:num>
  <w:num w:numId="39">
    <w:abstractNumId w:val="34"/>
  </w:num>
  <w:num w:numId="40">
    <w:abstractNumId w:val="36"/>
  </w:num>
  <w:num w:numId="41">
    <w:abstractNumId w:val="41"/>
  </w:num>
  <w:num w:numId="42">
    <w:abstractNumId w:val="32"/>
  </w:num>
  <w:num w:numId="43">
    <w:abstractNumId w:val="43"/>
  </w:num>
  <w:num w:numId="44">
    <w:abstractNumId w:val="35"/>
  </w:num>
  <w:num w:numId="45">
    <w:abstractNumId w:val="42"/>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733BD"/>
    <w:rsid w:val="00007D39"/>
    <w:rsid w:val="000132F4"/>
    <w:rsid w:val="000158F3"/>
    <w:rsid w:val="00015F72"/>
    <w:rsid w:val="0002576E"/>
    <w:rsid w:val="00040BD0"/>
    <w:rsid w:val="00046700"/>
    <w:rsid w:val="00047785"/>
    <w:rsid w:val="00061733"/>
    <w:rsid w:val="00065E5A"/>
    <w:rsid w:val="00072A47"/>
    <w:rsid w:val="000824D8"/>
    <w:rsid w:val="00087875"/>
    <w:rsid w:val="00090FAB"/>
    <w:rsid w:val="00096962"/>
    <w:rsid w:val="000B5CA1"/>
    <w:rsid w:val="000D17E3"/>
    <w:rsid w:val="000D65F3"/>
    <w:rsid w:val="000E6B1A"/>
    <w:rsid w:val="000E7FF7"/>
    <w:rsid w:val="000F07CD"/>
    <w:rsid w:val="000F67CD"/>
    <w:rsid w:val="00113543"/>
    <w:rsid w:val="0012198B"/>
    <w:rsid w:val="00124E3D"/>
    <w:rsid w:val="001408AF"/>
    <w:rsid w:val="001409A5"/>
    <w:rsid w:val="00144A03"/>
    <w:rsid w:val="00146F24"/>
    <w:rsid w:val="0016067C"/>
    <w:rsid w:val="00172778"/>
    <w:rsid w:val="0017755B"/>
    <w:rsid w:val="00183568"/>
    <w:rsid w:val="00184185"/>
    <w:rsid w:val="00193AA4"/>
    <w:rsid w:val="001A65EB"/>
    <w:rsid w:val="001C552D"/>
    <w:rsid w:val="001D5D4B"/>
    <w:rsid w:val="001D6F33"/>
    <w:rsid w:val="001E290D"/>
    <w:rsid w:val="001E33F1"/>
    <w:rsid w:val="00202C77"/>
    <w:rsid w:val="00211459"/>
    <w:rsid w:val="002139C6"/>
    <w:rsid w:val="00226910"/>
    <w:rsid w:val="00240E69"/>
    <w:rsid w:val="002527BF"/>
    <w:rsid w:val="0025570B"/>
    <w:rsid w:val="002622DE"/>
    <w:rsid w:val="002654E1"/>
    <w:rsid w:val="00272709"/>
    <w:rsid w:val="00276D41"/>
    <w:rsid w:val="00283DDC"/>
    <w:rsid w:val="0029420A"/>
    <w:rsid w:val="002A0F9A"/>
    <w:rsid w:val="002A1C49"/>
    <w:rsid w:val="002A7B14"/>
    <w:rsid w:val="002B0469"/>
    <w:rsid w:val="002B6113"/>
    <w:rsid w:val="002B69F4"/>
    <w:rsid w:val="002D75F2"/>
    <w:rsid w:val="002D7868"/>
    <w:rsid w:val="002E09EF"/>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720EC"/>
    <w:rsid w:val="00380C72"/>
    <w:rsid w:val="00383D66"/>
    <w:rsid w:val="00391F9F"/>
    <w:rsid w:val="003923FE"/>
    <w:rsid w:val="003A2491"/>
    <w:rsid w:val="003A51DF"/>
    <w:rsid w:val="003B2B49"/>
    <w:rsid w:val="003B7B6F"/>
    <w:rsid w:val="003C3139"/>
    <w:rsid w:val="003D7A4B"/>
    <w:rsid w:val="003E27E0"/>
    <w:rsid w:val="003E5E93"/>
    <w:rsid w:val="003F03F1"/>
    <w:rsid w:val="0040130C"/>
    <w:rsid w:val="00405ED1"/>
    <w:rsid w:val="00412A52"/>
    <w:rsid w:val="00424AD7"/>
    <w:rsid w:val="0043263D"/>
    <w:rsid w:val="00434120"/>
    <w:rsid w:val="004430E0"/>
    <w:rsid w:val="0046267B"/>
    <w:rsid w:val="00465DFA"/>
    <w:rsid w:val="004664C5"/>
    <w:rsid w:val="0047639E"/>
    <w:rsid w:val="00477E9E"/>
    <w:rsid w:val="00480358"/>
    <w:rsid w:val="00484326"/>
    <w:rsid w:val="00491889"/>
    <w:rsid w:val="00492F3A"/>
    <w:rsid w:val="00494DE2"/>
    <w:rsid w:val="004B1831"/>
    <w:rsid w:val="004B20A1"/>
    <w:rsid w:val="004C0660"/>
    <w:rsid w:val="004C1551"/>
    <w:rsid w:val="004C69BC"/>
    <w:rsid w:val="004D0E69"/>
    <w:rsid w:val="00510229"/>
    <w:rsid w:val="005206B5"/>
    <w:rsid w:val="00522AC4"/>
    <w:rsid w:val="00523CA1"/>
    <w:rsid w:val="005711BD"/>
    <w:rsid w:val="00584DF6"/>
    <w:rsid w:val="005859B6"/>
    <w:rsid w:val="00586DE6"/>
    <w:rsid w:val="00597BFE"/>
    <w:rsid w:val="005A533C"/>
    <w:rsid w:val="005B0448"/>
    <w:rsid w:val="005C3A9A"/>
    <w:rsid w:val="005D639E"/>
    <w:rsid w:val="005E63ED"/>
    <w:rsid w:val="005F7047"/>
    <w:rsid w:val="005F7C95"/>
    <w:rsid w:val="006027ED"/>
    <w:rsid w:val="00604ABA"/>
    <w:rsid w:val="00631F1A"/>
    <w:rsid w:val="00647BCC"/>
    <w:rsid w:val="00662A96"/>
    <w:rsid w:val="006718D7"/>
    <w:rsid w:val="00684A6B"/>
    <w:rsid w:val="00694640"/>
    <w:rsid w:val="006948C9"/>
    <w:rsid w:val="006A4BA7"/>
    <w:rsid w:val="006C3DBB"/>
    <w:rsid w:val="006C703D"/>
    <w:rsid w:val="006D3CE7"/>
    <w:rsid w:val="006E7CF0"/>
    <w:rsid w:val="006F7E78"/>
    <w:rsid w:val="007035F4"/>
    <w:rsid w:val="00705BB4"/>
    <w:rsid w:val="0071048F"/>
    <w:rsid w:val="00712510"/>
    <w:rsid w:val="007163F2"/>
    <w:rsid w:val="007171F4"/>
    <w:rsid w:val="00717FCD"/>
    <w:rsid w:val="00721E98"/>
    <w:rsid w:val="00725D52"/>
    <w:rsid w:val="00732672"/>
    <w:rsid w:val="00740BD2"/>
    <w:rsid w:val="00756D67"/>
    <w:rsid w:val="0076200F"/>
    <w:rsid w:val="00774058"/>
    <w:rsid w:val="00780A6B"/>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8762F"/>
    <w:rsid w:val="008A0A49"/>
    <w:rsid w:val="008A71B4"/>
    <w:rsid w:val="008B501D"/>
    <w:rsid w:val="008D1D32"/>
    <w:rsid w:val="008D228A"/>
    <w:rsid w:val="008D2818"/>
    <w:rsid w:val="008D70D4"/>
    <w:rsid w:val="008E1A09"/>
    <w:rsid w:val="009006A8"/>
    <w:rsid w:val="0090169E"/>
    <w:rsid w:val="009018CD"/>
    <w:rsid w:val="00903F33"/>
    <w:rsid w:val="009067EA"/>
    <w:rsid w:val="0092119A"/>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9F5C5D"/>
    <w:rsid w:val="00A04C49"/>
    <w:rsid w:val="00A23F87"/>
    <w:rsid w:val="00A33EBF"/>
    <w:rsid w:val="00A3665E"/>
    <w:rsid w:val="00A4799F"/>
    <w:rsid w:val="00A57EDC"/>
    <w:rsid w:val="00A67356"/>
    <w:rsid w:val="00A67C00"/>
    <w:rsid w:val="00A761F0"/>
    <w:rsid w:val="00A77799"/>
    <w:rsid w:val="00A80ACD"/>
    <w:rsid w:val="00A84829"/>
    <w:rsid w:val="00A92358"/>
    <w:rsid w:val="00A95184"/>
    <w:rsid w:val="00A95DD1"/>
    <w:rsid w:val="00AA4373"/>
    <w:rsid w:val="00AA68C3"/>
    <w:rsid w:val="00AB43CE"/>
    <w:rsid w:val="00AC4755"/>
    <w:rsid w:val="00AD011E"/>
    <w:rsid w:val="00AD0BF2"/>
    <w:rsid w:val="00AE328D"/>
    <w:rsid w:val="00AF3371"/>
    <w:rsid w:val="00B022FD"/>
    <w:rsid w:val="00B05F1D"/>
    <w:rsid w:val="00B159D6"/>
    <w:rsid w:val="00B24E1F"/>
    <w:rsid w:val="00B272AC"/>
    <w:rsid w:val="00B27EF0"/>
    <w:rsid w:val="00B31204"/>
    <w:rsid w:val="00B3535B"/>
    <w:rsid w:val="00B47C02"/>
    <w:rsid w:val="00B52B1C"/>
    <w:rsid w:val="00B640CA"/>
    <w:rsid w:val="00B6460E"/>
    <w:rsid w:val="00B70C54"/>
    <w:rsid w:val="00B7405D"/>
    <w:rsid w:val="00B76C69"/>
    <w:rsid w:val="00B83745"/>
    <w:rsid w:val="00B853C8"/>
    <w:rsid w:val="00B85525"/>
    <w:rsid w:val="00B912C2"/>
    <w:rsid w:val="00B95EFC"/>
    <w:rsid w:val="00BA0AC6"/>
    <w:rsid w:val="00BB32C7"/>
    <w:rsid w:val="00BC23AA"/>
    <w:rsid w:val="00BC45FC"/>
    <w:rsid w:val="00BC6046"/>
    <w:rsid w:val="00BD11C0"/>
    <w:rsid w:val="00BD3B9D"/>
    <w:rsid w:val="00BD63A4"/>
    <w:rsid w:val="00BD7EDB"/>
    <w:rsid w:val="00BE3363"/>
    <w:rsid w:val="00BE73F2"/>
    <w:rsid w:val="00C038FD"/>
    <w:rsid w:val="00C07AFA"/>
    <w:rsid w:val="00C37BDC"/>
    <w:rsid w:val="00C37CFF"/>
    <w:rsid w:val="00C43C3C"/>
    <w:rsid w:val="00C701B4"/>
    <w:rsid w:val="00C733BD"/>
    <w:rsid w:val="00C74850"/>
    <w:rsid w:val="00C8042E"/>
    <w:rsid w:val="00CA2F80"/>
    <w:rsid w:val="00CA5398"/>
    <w:rsid w:val="00CA5B6F"/>
    <w:rsid w:val="00CB777D"/>
    <w:rsid w:val="00CC09A7"/>
    <w:rsid w:val="00CC37A4"/>
    <w:rsid w:val="00CC44B2"/>
    <w:rsid w:val="00CC45C3"/>
    <w:rsid w:val="00CC5C90"/>
    <w:rsid w:val="00CD07AD"/>
    <w:rsid w:val="00CE207E"/>
    <w:rsid w:val="00CE3C40"/>
    <w:rsid w:val="00CF42ED"/>
    <w:rsid w:val="00D101C4"/>
    <w:rsid w:val="00D131A9"/>
    <w:rsid w:val="00D1442E"/>
    <w:rsid w:val="00D275AD"/>
    <w:rsid w:val="00D456AF"/>
    <w:rsid w:val="00D5741C"/>
    <w:rsid w:val="00D60434"/>
    <w:rsid w:val="00D607BF"/>
    <w:rsid w:val="00D62A71"/>
    <w:rsid w:val="00D62DE2"/>
    <w:rsid w:val="00D66EA3"/>
    <w:rsid w:val="00D80DCC"/>
    <w:rsid w:val="00D84614"/>
    <w:rsid w:val="00D87613"/>
    <w:rsid w:val="00D949DA"/>
    <w:rsid w:val="00D974A3"/>
    <w:rsid w:val="00DC0CF2"/>
    <w:rsid w:val="00DC0EC0"/>
    <w:rsid w:val="00DC7917"/>
    <w:rsid w:val="00DD2F41"/>
    <w:rsid w:val="00DD54A4"/>
    <w:rsid w:val="00DD6316"/>
    <w:rsid w:val="00DF2EC2"/>
    <w:rsid w:val="00DF54A8"/>
    <w:rsid w:val="00DF634F"/>
    <w:rsid w:val="00E1672F"/>
    <w:rsid w:val="00E17B77"/>
    <w:rsid w:val="00E2178D"/>
    <w:rsid w:val="00E46E18"/>
    <w:rsid w:val="00E53CBF"/>
    <w:rsid w:val="00E56703"/>
    <w:rsid w:val="00E62310"/>
    <w:rsid w:val="00E65F7A"/>
    <w:rsid w:val="00E6606E"/>
    <w:rsid w:val="00E74001"/>
    <w:rsid w:val="00E823E9"/>
    <w:rsid w:val="00E83722"/>
    <w:rsid w:val="00E87351"/>
    <w:rsid w:val="00E97982"/>
    <w:rsid w:val="00EA398D"/>
    <w:rsid w:val="00EA3B74"/>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D0E2B"/>
    <w:rsid w:val="00FD37E1"/>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9BA662"/>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84904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0883D-62CC-4073-9893-1021B7674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1797</Words>
  <Characters>10244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12017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Marija</cp:lastModifiedBy>
  <cp:revision>34</cp:revision>
  <cp:lastPrinted>2019-09-25T07:24:00Z</cp:lastPrinted>
  <dcterms:created xsi:type="dcterms:W3CDTF">2018-12-18T13:17:00Z</dcterms:created>
  <dcterms:modified xsi:type="dcterms:W3CDTF">2019-10-02T08:25:00Z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