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CFAC1" w14:textId="77777777"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14:paraId="708C6C91" w14:textId="77777777"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562DE831" w14:textId="77777777"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14:paraId="3A3180D5" w14:textId="77777777"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14:paraId="18284DD6" w14:textId="6CF49B74" w:rsidR="004677C7" w:rsidRPr="004677C7" w:rsidRDefault="0034613B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="004677C7" w:rsidRPr="004677C7">
        <w:rPr>
          <w:b/>
          <w:sz w:val="22"/>
          <w:szCs w:val="22"/>
        </w:rPr>
        <w:t xml:space="preserve"> </w:t>
      </w:r>
      <w:r w:rsidR="000564DD" w:rsidRPr="000564DD">
        <w:rPr>
          <w:b/>
          <w:sz w:val="22"/>
          <w:szCs w:val="22"/>
        </w:rPr>
        <w:t>CB007.2.12.034/PP2-TD0</w:t>
      </w:r>
      <w:r w:rsidR="003B4B51">
        <w:rPr>
          <w:b/>
          <w:sz w:val="22"/>
          <w:szCs w:val="22"/>
        </w:rPr>
        <w:t>5</w:t>
      </w:r>
      <w:r w:rsidR="000564DD" w:rsidRPr="006B06A6">
        <w:rPr>
          <w:sz w:val="22"/>
          <w:szCs w:val="22"/>
        </w:rPr>
        <w:t xml:space="preserve">  </w:t>
      </w:r>
    </w:p>
    <w:p w14:paraId="5D3ED824" w14:textId="77777777"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THE </w:t>
      </w:r>
      <w:r w:rsidRPr="000564DD">
        <w:rPr>
          <w:b/>
          <w:sz w:val="22"/>
          <w:szCs w:val="22"/>
        </w:rPr>
        <w:t>GENERAL BUDGET</w:t>
      </w:r>
      <w:r w:rsidR="003B7759" w:rsidRPr="000564DD">
        <w:rPr>
          <w:b/>
          <w:sz w:val="22"/>
          <w:szCs w:val="22"/>
        </w:rPr>
        <w:t>OF THE UNION</w:t>
      </w:r>
    </w:p>
    <w:p w14:paraId="4EF6CF45" w14:textId="77777777" w:rsidR="00D364B4" w:rsidRPr="00D364B4" w:rsidRDefault="00D364B4" w:rsidP="00D364B4">
      <w:pPr>
        <w:spacing w:after="120"/>
      </w:pPr>
      <w:r w:rsidRPr="00D364B4">
        <w:t>Between</w:t>
      </w:r>
    </w:p>
    <w:p w14:paraId="6D7A5D02" w14:textId="77777777" w:rsidR="000564DD" w:rsidRPr="000564DD" w:rsidRDefault="000564DD" w:rsidP="000564DD">
      <w:pPr>
        <w:widowControl w:val="0"/>
        <w:snapToGrid w:val="0"/>
        <w:spacing w:before="100"/>
        <w:rPr>
          <w:sz w:val="22"/>
          <w:szCs w:val="22"/>
        </w:rPr>
      </w:pPr>
      <w:r w:rsidRPr="000564DD">
        <w:rPr>
          <w:sz w:val="22"/>
          <w:szCs w:val="22"/>
        </w:rPr>
        <w:t>Municipality of Sokobanja</w:t>
      </w:r>
    </w:p>
    <w:p w14:paraId="0A4F18DB" w14:textId="77777777" w:rsidR="000564DD" w:rsidRPr="000564DD" w:rsidRDefault="000564DD" w:rsidP="000564DD">
      <w:pPr>
        <w:widowControl w:val="0"/>
        <w:snapToGrid w:val="0"/>
        <w:spacing w:before="100"/>
        <w:rPr>
          <w:sz w:val="22"/>
          <w:szCs w:val="22"/>
        </w:rPr>
      </w:pPr>
      <w:r w:rsidRPr="000564DD">
        <w:rPr>
          <w:sz w:val="22"/>
          <w:szCs w:val="22"/>
        </w:rPr>
        <w:t>Svetog Save 23</w:t>
      </w:r>
    </w:p>
    <w:p w14:paraId="1779383E" w14:textId="77777777" w:rsidR="000564DD" w:rsidRPr="000564DD" w:rsidRDefault="000564DD" w:rsidP="000564DD">
      <w:pPr>
        <w:widowControl w:val="0"/>
        <w:snapToGrid w:val="0"/>
        <w:spacing w:before="100"/>
        <w:rPr>
          <w:sz w:val="22"/>
          <w:szCs w:val="22"/>
        </w:rPr>
      </w:pPr>
      <w:r w:rsidRPr="000564DD">
        <w:rPr>
          <w:sz w:val="22"/>
          <w:szCs w:val="22"/>
        </w:rPr>
        <w:t>18230 Sokobanja</w:t>
      </w:r>
    </w:p>
    <w:p w14:paraId="206F5C38" w14:textId="77777777" w:rsidR="000564DD" w:rsidRPr="000564DD" w:rsidRDefault="000564DD" w:rsidP="000564DD">
      <w:pPr>
        <w:widowControl w:val="0"/>
        <w:snapToGrid w:val="0"/>
        <w:spacing w:before="100"/>
        <w:rPr>
          <w:sz w:val="22"/>
          <w:szCs w:val="22"/>
        </w:rPr>
      </w:pPr>
      <w:r w:rsidRPr="000564DD">
        <w:rPr>
          <w:sz w:val="22"/>
          <w:szCs w:val="22"/>
        </w:rPr>
        <w:t>Republic of Serbia</w:t>
      </w:r>
    </w:p>
    <w:p w14:paraId="6B31A4EF" w14:textId="77777777" w:rsidR="000564DD" w:rsidRPr="000564DD" w:rsidRDefault="000564DD" w:rsidP="000564DD">
      <w:pPr>
        <w:widowControl w:val="0"/>
        <w:snapToGrid w:val="0"/>
        <w:spacing w:before="100"/>
        <w:rPr>
          <w:sz w:val="22"/>
          <w:szCs w:val="22"/>
        </w:rPr>
      </w:pPr>
      <w:r w:rsidRPr="000564DD">
        <w:rPr>
          <w:sz w:val="22"/>
          <w:szCs w:val="22"/>
        </w:rPr>
        <w:t>Represented by:</w:t>
      </w:r>
    </w:p>
    <w:p w14:paraId="6A9167CC" w14:textId="77777777" w:rsidR="000564DD" w:rsidRPr="000564DD" w:rsidRDefault="000564DD" w:rsidP="000564DD">
      <w:pPr>
        <w:widowControl w:val="0"/>
        <w:snapToGrid w:val="0"/>
        <w:spacing w:before="100"/>
        <w:rPr>
          <w:sz w:val="22"/>
          <w:szCs w:val="22"/>
        </w:rPr>
      </w:pPr>
      <w:r w:rsidRPr="000564DD">
        <w:rPr>
          <w:sz w:val="22"/>
          <w:szCs w:val="22"/>
        </w:rPr>
        <w:t>Isidor Krstic, Mayor</w:t>
      </w:r>
    </w:p>
    <w:p w14:paraId="6747EA6D" w14:textId="77777777" w:rsidR="00CD2624" w:rsidRPr="00E725FE" w:rsidRDefault="000564DD" w:rsidP="000564DD">
      <w:pPr>
        <w:widowControl w:val="0"/>
        <w:snapToGrid w:val="0"/>
        <w:spacing w:before="100" w:after="100"/>
        <w:rPr>
          <w:sz w:val="22"/>
          <w:szCs w:val="22"/>
        </w:rPr>
      </w:pPr>
      <w:r w:rsidRPr="000564DD">
        <w:rPr>
          <w:sz w:val="22"/>
          <w:szCs w:val="22"/>
        </w:rPr>
        <w:t>(‘the contracting authority’),</w:t>
      </w:r>
      <w:r w:rsidRPr="00E725FE">
        <w:rPr>
          <w:sz w:val="22"/>
          <w:szCs w:val="22"/>
        </w:rPr>
        <w:t xml:space="preserve"> </w:t>
      </w:r>
      <w:r w:rsidR="00CD2624"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="00CD2624"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="00CD2624" w:rsidRPr="00E725FE">
        <w:rPr>
          <w:sz w:val="22"/>
          <w:szCs w:val="22"/>
        </w:rPr>
        <w:t>),</w:t>
      </w:r>
    </w:p>
    <w:p w14:paraId="4CF95853" w14:textId="77777777"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14:paraId="14BE443E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14:paraId="624CBB10" w14:textId="77777777" w:rsidR="00CD2624" w:rsidRPr="00E725FE" w:rsidRDefault="00CD2624" w:rsidP="006E6032">
      <w:pPr>
        <w:rPr>
          <w:sz w:val="22"/>
          <w:szCs w:val="22"/>
        </w:rPr>
      </w:pPr>
    </w:p>
    <w:p w14:paraId="34B14C06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14:paraId="10BE5BA6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14:paraId="71CE9E22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14:paraId="1E956C59" w14:textId="77777777"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14:paraId="656A5EAF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FootnoteReference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14:paraId="3CBF3CEF" w14:textId="77777777" w:rsidR="00CD2624" w:rsidRPr="00E725FE" w:rsidRDefault="00CD2624" w:rsidP="006E6032">
      <w:pPr>
        <w:jc w:val="both"/>
        <w:rPr>
          <w:sz w:val="22"/>
          <w:szCs w:val="22"/>
        </w:rPr>
      </w:pPr>
    </w:p>
    <w:p w14:paraId="0F91831B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14:paraId="5C5F53F6" w14:textId="77777777" w:rsidR="00CD2624" w:rsidRPr="00E725FE" w:rsidRDefault="00CD2624" w:rsidP="006E6032">
      <w:pPr>
        <w:rPr>
          <w:sz w:val="22"/>
          <w:szCs w:val="22"/>
        </w:rPr>
      </w:pPr>
    </w:p>
    <w:p w14:paraId="5024E433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14:paraId="32535E95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14:paraId="43603CBE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14:paraId="5E070ADB" w14:textId="77777777" w:rsidR="00CD2624" w:rsidRPr="000564DD" w:rsidRDefault="00CD2624" w:rsidP="009D1893">
      <w:pPr>
        <w:spacing w:before="240"/>
        <w:jc w:val="center"/>
        <w:outlineLvl w:val="0"/>
        <w:rPr>
          <w:sz w:val="20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0564DD" w:rsidRPr="000564DD">
        <w:rPr>
          <w:b/>
          <w:sz w:val="22"/>
        </w:rPr>
        <w:t>“Improving the winter tourist offer in Sokobanja and Varshets municipalities – Winter Cross-Border Tour Varshets- Sokobanja” ref.no. CB007.2.12.034</w:t>
      </w:r>
      <w:r w:rsidR="000564DD">
        <w:rPr>
          <w:b/>
          <w:sz w:val="22"/>
        </w:rPr>
        <w:t xml:space="preserve">, Subsidy </w:t>
      </w:r>
      <w:r w:rsidR="000564DD" w:rsidRPr="000564DD">
        <w:rPr>
          <w:b/>
          <w:sz w:val="22"/>
        </w:rPr>
        <w:t>Contract No РД-02-29-89/16.05.2019</w:t>
      </w:r>
    </w:p>
    <w:p w14:paraId="4F38587D" w14:textId="77777777"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CONTRACT TITLE </w:t>
      </w:r>
      <w:r w:rsidR="000564DD" w:rsidRPr="000564DD">
        <w:rPr>
          <w:b/>
          <w:sz w:val="22"/>
          <w:szCs w:val="22"/>
        </w:rPr>
        <w:t>Installation of prefabricated sport facilities – skating rink and sledge toboggan run under project CB007.2.12.034 “Improving the winter tourist offer in Sokobanja and Varshets municipalities – Winter Cross-Border Tour Varshets- Sokobanja” funded under Interreg – IPA-CBC Bulgaria-Serbia Programme</w:t>
      </w:r>
    </w:p>
    <w:p w14:paraId="3FA78096" w14:textId="3B7D7923"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0564DD" w:rsidRPr="000564DD">
        <w:rPr>
          <w:b/>
          <w:sz w:val="22"/>
          <w:szCs w:val="22"/>
        </w:rPr>
        <w:t>CB007.2.12.034/PP2-TD0</w:t>
      </w:r>
      <w:r w:rsidR="003B4B51">
        <w:rPr>
          <w:b/>
          <w:sz w:val="22"/>
          <w:szCs w:val="22"/>
        </w:rPr>
        <w:t>5</w:t>
      </w:r>
      <w:r w:rsidR="000564DD" w:rsidRPr="000564DD">
        <w:rPr>
          <w:b/>
          <w:sz w:val="22"/>
          <w:szCs w:val="22"/>
        </w:rPr>
        <w:t xml:space="preserve">  </w:t>
      </w:r>
    </w:p>
    <w:p w14:paraId="17FCD7C8" w14:textId="77777777"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14:paraId="59EECC9A" w14:textId="77777777"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lastRenderedPageBreak/>
        <w:t>Construction of</w:t>
      </w:r>
    </w:p>
    <w:p w14:paraId="392C0B95" w14:textId="77777777" w:rsidR="000564DD" w:rsidRDefault="000564DD" w:rsidP="00CD2624">
      <w:pPr>
        <w:ind w:right="-45"/>
        <w:jc w:val="both"/>
        <w:rPr>
          <w:sz w:val="22"/>
          <w:szCs w:val="22"/>
        </w:rPr>
      </w:pPr>
      <w:r w:rsidRPr="000564DD">
        <w:rPr>
          <w:sz w:val="22"/>
          <w:szCs w:val="22"/>
        </w:rPr>
        <w:t>of prefabricated sport facilities – skating rink and sledge toboggan run in the Sokobanja city center</w:t>
      </w:r>
      <w:r>
        <w:rPr>
          <w:sz w:val="22"/>
          <w:szCs w:val="22"/>
        </w:rPr>
        <w:t>.</w:t>
      </w:r>
    </w:p>
    <w:p w14:paraId="69C53296" w14:textId="77777777" w:rsidR="000564DD" w:rsidRDefault="000564DD" w:rsidP="00CD2624">
      <w:pPr>
        <w:ind w:right="-45"/>
        <w:jc w:val="both"/>
        <w:rPr>
          <w:sz w:val="22"/>
          <w:szCs w:val="22"/>
        </w:rPr>
      </w:pPr>
    </w:p>
    <w:p w14:paraId="4D328E11" w14:textId="77777777"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14:paraId="2780F965" w14:textId="77777777"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14:paraId="19EC5BA7" w14:textId="77777777"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14:paraId="1B84E5D8" w14:textId="77777777"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14:paraId="54725095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14:paraId="408A380D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14:paraId="11950EFC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14:paraId="1E6C9F3C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14:paraId="4825716D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14:paraId="5F7D3804" w14:textId="77777777"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14:paraId="61DACDFD" w14:textId="77777777"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14:paraId="221D4944" w14:textId="77777777"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58906DD3" w14:textId="77777777"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14:paraId="37D2135E" w14:textId="77777777"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14:paraId="113DBD37" w14:textId="77777777"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14:paraId="0890A613" w14:textId="77777777" w:rsidR="00CD2624" w:rsidRPr="00E725FE" w:rsidRDefault="00CD2624" w:rsidP="0092758C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</w:t>
      </w:r>
      <w:r w:rsidR="000564DD">
        <w:rPr>
          <w:sz w:val="22"/>
          <w:szCs w:val="22"/>
        </w:rPr>
        <w:t xml:space="preserve"> RSD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  <w:r w:rsidR="007A4169">
        <w:rPr>
          <w:sz w:val="22"/>
          <w:szCs w:val="22"/>
        </w:rPr>
        <w:t xml:space="preserve"> / EUR &lt;</w:t>
      </w:r>
      <w:r w:rsidR="007A4169" w:rsidRPr="00964FDB">
        <w:rPr>
          <w:sz w:val="22"/>
          <w:szCs w:val="22"/>
          <w:highlight w:val="yellow"/>
        </w:rPr>
        <w:t>amount</w:t>
      </w:r>
      <w:r w:rsidR="007A4169">
        <w:rPr>
          <w:sz w:val="22"/>
          <w:szCs w:val="22"/>
        </w:rPr>
        <w:t xml:space="preserve">&gt;  </w:t>
      </w:r>
    </w:p>
    <w:p w14:paraId="303FD822" w14:textId="77777777" w:rsidR="00CD2624" w:rsidRPr="00E725FE" w:rsidRDefault="00F062A3" w:rsidP="0092758C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>Contract price</w:t>
      </w:r>
      <w:r w:rsidR="007A4169">
        <w:rPr>
          <w:sz w:val="22"/>
          <w:szCs w:val="22"/>
        </w:rPr>
        <w:t xml:space="preserve"> RSD &lt;</w:t>
      </w:r>
      <w:r w:rsidR="007A4169" w:rsidRPr="007F26B5">
        <w:rPr>
          <w:sz w:val="22"/>
          <w:szCs w:val="22"/>
          <w:highlight w:val="yellow"/>
        </w:rPr>
        <w:t>amount</w:t>
      </w:r>
      <w:r w:rsidR="007A4169" w:rsidRPr="00ED5063">
        <w:rPr>
          <w:sz w:val="22"/>
          <w:szCs w:val="22"/>
          <w:highlight w:val="yellow"/>
        </w:rPr>
        <w:t xml:space="preserve"> in words</w:t>
      </w:r>
      <w:r w:rsidR="007A4169">
        <w:rPr>
          <w:sz w:val="22"/>
          <w:szCs w:val="22"/>
        </w:rPr>
        <w:t>&gt; / EUR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 xml:space="preserve">&gt; </w:t>
      </w:r>
    </w:p>
    <w:p w14:paraId="1C5350CB" w14:textId="77777777"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14:paraId="434F3750" w14:textId="77777777"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8819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DD74D3" w14:paraId="758F9435" w14:textId="77777777" w:rsidTr="00F53745">
        <w:tc>
          <w:tcPr>
            <w:tcW w:w="360" w:type="dxa"/>
            <w:shd w:val="clear" w:color="auto" w:fill="auto"/>
          </w:tcPr>
          <w:p w14:paraId="5109E16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14:paraId="031961D3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14:paraId="7FCA859C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1774A71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14:paraId="713AD9AC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14:paraId="79BD7DC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14:paraId="74DBE660" w14:textId="77777777" w:rsidTr="00F53745">
        <w:tc>
          <w:tcPr>
            <w:tcW w:w="360" w:type="dxa"/>
            <w:shd w:val="clear" w:color="auto" w:fill="auto"/>
          </w:tcPr>
          <w:p w14:paraId="2035AFC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6A4A51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14:paraId="355DD6E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14:paraId="6C0AC95D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14:paraId="3344E8AD" w14:textId="77777777" w:rsidTr="00F53745">
        <w:tc>
          <w:tcPr>
            <w:tcW w:w="360" w:type="dxa"/>
            <w:shd w:val="clear" w:color="auto" w:fill="auto"/>
          </w:tcPr>
          <w:p w14:paraId="3321D8C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48707E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3B4774E0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14:paraId="3F5B792F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14:paraId="7E6EBADB" w14:textId="77777777" w:rsidTr="00F53745">
        <w:tc>
          <w:tcPr>
            <w:tcW w:w="360" w:type="dxa"/>
            <w:shd w:val="clear" w:color="auto" w:fill="auto"/>
          </w:tcPr>
          <w:p w14:paraId="759EFE3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6F8AE40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14:paraId="3E5C0544" w14:textId="33B57E1E" w:rsidR="002F0C4E" w:rsidRPr="008F1E84" w:rsidRDefault="003B4B51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>60 days</w:t>
            </w:r>
            <w:r w:rsidR="002F0C4E" w:rsidRPr="008F1E84">
              <w:rPr>
                <w:rFonts w:eastAsia="Calibri"/>
                <w:snapToGrid/>
                <w:sz w:val="22"/>
                <w:szCs w:val="22"/>
              </w:rPr>
              <w:t xml:space="preserve"> implementation of works</w:t>
            </w:r>
          </w:p>
        </w:tc>
        <w:tc>
          <w:tcPr>
            <w:tcW w:w="1047" w:type="dxa"/>
            <w:shd w:val="clear" w:color="auto" w:fill="auto"/>
          </w:tcPr>
          <w:p w14:paraId="6B42D83E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14:paraId="2235CADB" w14:textId="77777777" w:rsidTr="00F53745">
        <w:tc>
          <w:tcPr>
            <w:tcW w:w="360" w:type="dxa"/>
            <w:shd w:val="clear" w:color="auto" w:fill="auto"/>
          </w:tcPr>
          <w:p w14:paraId="790358F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079143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100927AC" w14:textId="09D1356C" w:rsidR="002F0C4E" w:rsidRPr="008F1E84" w:rsidRDefault="00F53745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>Final acceptance</w:t>
            </w:r>
            <w:r w:rsidR="002F0C4E" w:rsidRPr="008F1E84">
              <w:rPr>
                <w:rFonts w:eastAsia="Calibri"/>
                <w:snapToGrid/>
                <w:sz w:val="22"/>
                <w:szCs w:val="22"/>
              </w:rPr>
              <w:t>, after completion of works</w:t>
            </w:r>
          </w:p>
        </w:tc>
        <w:tc>
          <w:tcPr>
            <w:tcW w:w="1047" w:type="dxa"/>
            <w:shd w:val="clear" w:color="auto" w:fill="auto"/>
          </w:tcPr>
          <w:p w14:paraId="4A43B2F9" w14:textId="1731E8FB" w:rsidR="002F0C4E" w:rsidRPr="008F1E84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>60</w:t>
            </w:r>
            <w:r w:rsidR="00F53745" w:rsidRPr="008F1E84">
              <w:rPr>
                <w:rFonts w:eastAsia="Calibri"/>
                <w:snapToGrid/>
                <w:sz w:val="22"/>
                <w:szCs w:val="22"/>
              </w:rPr>
              <w:t>, 62</w:t>
            </w:r>
          </w:p>
        </w:tc>
      </w:tr>
      <w:tr w:rsidR="002F0C4E" w:rsidRPr="00DD74D3" w14:paraId="066C613B" w14:textId="77777777" w:rsidTr="00F53745">
        <w:tc>
          <w:tcPr>
            <w:tcW w:w="360" w:type="dxa"/>
            <w:shd w:val="clear" w:color="auto" w:fill="auto"/>
          </w:tcPr>
          <w:p w14:paraId="04B4099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9E03A5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7A2A4788" w14:textId="1DAC8C9A" w:rsidR="002F0C4E" w:rsidRPr="008F1E84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 xml:space="preserve">Defects liability period of </w:t>
            </w:r>
            <w:r w:rsidR="003B4B51" w:rsidRPr="008F1E84">
              <w:rPr>
                <w:rFonts w:eastAsia="Calibri"/>
                <w:snapToGrid/>
                <w:sz w:val="22"/>
                <w:szCs w:val="22"/>
              </w:rPr>
              <w:t>2 years</w:t>
            </w:r>
            <w:r w:rsidRPr="008F1E84">
              <w:rPr>
                <w:rFonts w:eastAsia="Calibri"/>
                <w:snapToGrid/>
                <w:sz w:val="22"/>
                <w:szCs w:val="22"/>
              </w:rPr>
              <w:t>, after provisional acceptance</w:t>
            </w:r>
          </w:p>
        </w:tc>
        <w:tc>
          <w:tcPr>
            <w:tcW w:w="1047" w:type="dxa"/>
            <w:shd w:val="clear" w:color="auto" w:fill="auto"/>
          </w:tcPr>
          <w:p w14:paraId="43073440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14:paraId="18FD5945" w14:textId="77777777" w:rsidTr="00F53745">
        <w:tc>
          <w:tcPr>
            <w:tcW w:w="360" w:type="dxa"/>
            <w:shd w:val="clear" w:color="auto" w:fill="auto"/>
          </w:tcPr>
          <w:p w14:paraId="3D9EA08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0980AED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14:paraId="28C01B24" w14:textId="2720F476" w:rsidR="002F0C4E" w:rsidRPr="008F1E84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  <w:r w:rsidR="00E11A09" w:rsidRPr="008F1E84">
              <w:rPr>
                <w:rFonts w:eastAsia="Calibri"/>
                <w:snapToGrid/>
                <w:sz w:val="22"/>
                <w:szCs w:val="22"/>
              </w:rPr>
              <w:t xml:space="preserve"> ( max 10%)</w:t>
            </w:r>
          </w:p>
        </w:tc>
        <w:tc>
          <w:tcPr>
            <w:tcW w:w="1047" w:type="dxa"/>
            <w:shd w:val="clear" w:color="auto" w:fill="auto"/>
          </w:tcPr>
          <w:p w14:paraId="6CDDEDEC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14:paraId="72EF898E" w14:textId="77777777" w:rsidTr="00F53745">
        <w:tc>
          <w:tcPr>
            <w:tcW w:w="360" w:type="dxa"/>
            <w:shd w:val="clear" w:color="auto" w:fill="auto"/>
          </w:tcPr>
          <w:p w14:paraId="4A565A2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6DCD327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14:paraId="741667E1" w14:textId="77777777" w:rsidR="002F0C4E" w:rsidRPr="008F1E84" w:rsidRDefault="007A4169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>The project site supervisor and its representatives will be assigned by the Contracting Authority in another contract.</w:t>
            </w:r>
          </w:p>
        </w:tc>
        <w:tc>
          <w:tcPr>
            <w:tcW w:w="1047" w:type="dxa"/>
            <w:shd w:val="clear" w:color="auto" w:fill="auto"/>
          </w:tcPr>
          <w:p w14:paraId="1A9C22CB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14:paraId="26E80461" w14:textId="77777777" w:rsidTr="00F53745">
        <w:tc>
          <w:tcPr>
            <w:tcW w:w="360" w:type="dxa"/>
            <w:shd w:val="clear" w:color="auto" w:fill="auto"/>
          </w:tcPr>
          <w:p w14:paraId="6A7CF52F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lastRenderedPageBreak/>
              <w:t>5</w:t>
            </w:r>
          </w:p>
        </w:tc>
        <w:tc>
          <w:tcPr>
            <w:tcW w:w="1440" w:type="dxa"/>
            <w:shd w:val="clear" w:color="auto" w:fill="auto"/>
          </w:tcPr>
          <w:p w14:paraId="56D6FBC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14:paraId="10866DEB" w14:textId="63AF65DD" w:rsidR="00E11A09" w:rsidRPr="00DD74D3" w:rsidRDefault="007A4169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7A4169">
              <w:rPr>
                <w:rFonts w:eastAsia="Calibri"/>
                <w:snapToGrid/>
                <w:sz w:val="22"/>
                <w:szCs w:val="22"/>
              </w:rPr>
              <w:t xml:space="preserve">Performance guarantee </w:t>
            </w:r>
            <w:r w:rsidR="00E11A09">
              <w:rPr>
                <w:rFonts w:eastAsia="Calibri"/>
                <w:snapToGrid/>
                <w:sz w:val="22"/>
                <w:szCs w:val="22"/>
              </w:rPr>
              <w:t>10</w:t>
            </w:r>
            <w:r w:rsidRPr="007A4169">
              <w:rPr>
                <w:rFonts w:eastAsia="Calibri"/>
                <w:snapToGrid/>
                <w:sz w:val="22"/>
                <w:szCs w:val="22"/>
              </w:rPr>
              <w:t xml:space="preserve">% </w:t>
            </w:r>
          </w:p>
        </w:tc>
        <w:tc>
          <w:tcPr>
            <w:tcW w:w="1047" w:type="dxa"/>
            <w:shd w:val="clear" w:color="auto" w:fill="auto"/>
          </w:tcPr>
          <w:p w14:paraId="10339BAD" w14:textId="274EBC2C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</w:t>
            </w:r>
          </w:p>
        </w:tc>
      </w:tr>
      <w:tr w:rsidR="00F53745" w:rsidRPr="00DD74D3" w14:paraId="4A904BD4" w14:textId="77777777" w:rsidTr="00F53745">
        <w:tc>
          <w:tcPr>
            <w:tcW w:w="360" w:type="dxa"/>
            <w:shd w:val="clear" w:color="auto" w:fill="auto"/>
          </w:tcPr>
          <w:p w14:paraId="5866EBD6" w14:textId="77777777" w:rsidR="00F53745" w:rsidRDefault="00F53745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F724BDA" w14:textId="77777777" w:rsidR="00F53745" w:rsidRPr="00DD74D3" w:rsidRDefault="00F53745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5ED4E59A" w14:textId="5E6D506B" w:rsidR="00F53745" w:rsidRPr="008F1E84" w:rsidRDefault="00F53745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 xml:space="preserve">Advance payment </w:t>
            </w:r>
            <w:r w:rsidR="008F1E84" w:rsidRPr="008F1E84">
              <w:rPr>
                <w:rFonts w:eastAsia="Calibri"/>
                <w:snapToGrid/>
                <w:sz w:val="22"/>
                <w:szCs w:val="22"/>
              </w:rPr>
              <w:t>guarantee</w:t>
            </w:r>
            <w:r w:rsidR="008F1E84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 w:rsidR="005F78A8" w:rsidRPr="008F1E84">
              <w:rPr>
                <w:rFonts w:eastAsia="Calibri"/>
                <w:snapToGrid/>
                <w:sz w:val="22"/>
                <w:szCs w:val="22"/>
              </w:rPr>
              <w:t>for the full amount of the pre-financing</w:t>
            </w:r>
          </w:p>
        </w:tc>
        <w:tc>
          <w:tcPr>
            <w:tcW w:w="1047" w:type="dxa"/>
            <w:shd w:val="clear" w:color="auto" w:fill="auto"/>
          </w:tcPr>
          <w:p w14:paraId="28792514" w14:textId="1B4D8EAD" w:rsidR="00F53745" w:rsidRPr="00DD74D3" w:rsidRDefault="00E11A09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46</w:t>
            </w:r>
          </w:p>
        </w:tc>
      </w:tr>
      <w:tr w:rsidR="00F53745" w:rsidRPr="00DD74D3" w14:paraId="3300662D" w14:textId="77777777" w:rsidTr="00F53745">
        <w:tc>
          <w:tcPr>
            <w:tcW w:w="360" w:type="dxa"/>
            <w:shd w:val="clear" w:color="auto" w:fill="auto"/>
          </w:tcPr>
          <w:p w14:paraId="216AFD87" w14:textId="77777777" w:rsidR="00F53745" w:rsidRDefault="00F53745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208CDC51" w14:textId="77777777" w:rsidR="00F53745" w:rsidRPr="00DD74D3" w:rsidRDefault="00F53745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56ECD2B6" w14:textId="1111CB05" w:rsidR="00F53745" w:rsidRPr="008F1E84" w:rsidRDefault="00E11A09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>D</w:t>
            </w:r>
            <w:r w:rsidR="00F53745" w:rsidRPr="008F1E84">
              <w:rPr>
                <w:rFonts w:eastAsia="Calibri"/>
                <w:snapToGrid/>
                <w:sz w:val="22"/>
                <w:szCs w:val="22"/>
              </w:rPr>
              <w:t xml:space="preserve">efects </w:t>
            </w:r>
            <w:r w:rsidRPr="008F1E84">
              <w:rPr>
                <w:rFonts w:eastAsia="Calibri"/>
                <w:snapToGrid/>
                <w:sz w:val="22"/>
                <w:szCs w:val="22"/>
              </w:rPr>
              <w:t xml:space="preserve">liability </w:t>
            </w:r>
            <w:r w:rsidR="00F53745" w:rsidRPr="008F1E84">
              <w:rPr>
                <w:rFonts w:eastAsia="Calibri"/>
                <w:snapToGrid/>
                <w:sz w:val="22"/>
                <w:szCs w:val="22"/>
              </w:rPr>
              <w:t>guarantee</w:t>
            </w:r>
            <w:r w:rsidRPr="008F1E84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 w:rsidR="008F1E84" w:rsidRPr="008F1E84">
              <w:rPr>
                <w:rFonts w:eastAsia="Calibri"/>
                <w:snapToGrid/>
                <w:sz w:val="22"/>
                <w:szCs w:val="22"/>
              </w:rPr>
              <w:t>5</w:t>
            </w:r>
            <w:r w:rsidRPr="008F1E84">
              <w:rPr>
                <w:rFonts w:eastAsia="Calibri"/>
                <w:snapToGrid/>
                <w:sz w:val="22"/>
                <w:szCs w:val="22"/>
              </w:rPr>
              <w:t>%</w:t>
            </w:r>
          </w:p>
        </w:tc>
        <w:tc>
          <w:tcPr>
            <w:tcW w:w="1047" w:type="dxa"/>
            <w:shd w:val="clear" w:color="auto" w:fill="auto"/>
          </w:tcPr>
          <w:p w14:paraId="565C6E4D" w14:textId="731AEA5E" w:rsidR="00F53745" w:rsidRPr="00DD74D3" w:rsidRDefault="00F53745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14:paraId="6B7EE98D" w14:textId="77777777" w:rsidTr="00F53745">
        <w:tc>
          <w:tcPr>
            <w:tcW w:w="360" w:type="dxa"/>
            <w:shd w:val="clear" w:color="auto" w:fill="auto"/>
          </w:tcPr>
          <w:p w14:paraId="2DFCD07C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56D6F75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14:paraId="0FDAC934" w14:textId="77777777" w:rsidR="002F0C4E" w:rsidRPr="008F1E84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8F1E84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8F1E84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14:paraId="57657D25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6476D9C5" w14:textId="77777777" w:rsidTr="00F53745">
        <w:tc>
          <w:tcPr>
            <w:tcW w:w="360" w:type="dxa"/>
            <w:shd w:val="clear" w:color="auto" w:fill="auto"/>
          </w:tcPr>
          <w:p w14:paraId="7ED2C2C0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6863BC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16AF4CA2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14:paraId="5E1B9D85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78150546" w14:textId="77777777" w:rsidTr="00F53745">
        <w:tc>
          <w:tcPr>
            <w:tcW w:w="360" w:type="dxa"/>
            <w:shd w:val="clear" w:color="auto" w:fill="auto"/>
          </w:tcPr>
          <w:p w14:paraId="3E8D4E5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4E02DEB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5F2698B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14:paraId="66BCE7C9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3DBEC7B1" w14:textId="77777777" w:rsidTr="00F53745">
        <w:tc>
          <w:tcPr>
            <w:tcW w:w="360" w:type="dxa"/>
            <w:shd w:val="clear" w:color="auto" w:fill="auto"/>
          </w:tcPr>
          <w:p w14:paraId="597846E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6455BD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5DE1495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14:paraId="26C71008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41BD2545" w14:textId="77777777" w:rsidTr="00F53745">
        <w:tc>
          <w:tcPr>
            <w:tcW w:w="360" w:type="dxa"/>
            <w:shd w:val="clear" w:color="auto" w:fill="auto"/>
          </w:tcPr>
          <w:p w14:paraId="5AFFA166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1BDFA691" w14:textId="77777777" w:rsidR="002F0C4E" w:rsidRPr="008F1E84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14:paraId="6E05BA5A" w14:textId="308C0EA6" w:rsidR="002F0C4E" w:rsidRPr="008F1E84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 xml:space="preserve">lump sum advance </w:t>
            </w:r>
            <w:r w:rsidR="00A738EF" w:rsidRPr="008F1E84">
              <w:rPr>
                <w:rFonts w:eastAsia="Calibri"/>
                <w:snapToGrid/>
                <w:sz w:val="22"/>
                <w:szCs w:val="22"/>
              </w:rPr>
              <w:t xml:space="preserve">up to </w:t>
            </w:r>
            <w:r w:rsidRPr="008F1E84">
              <w:rPr>
                <w:rFonts w:eastAsia="Calibri"/>
                <w:snapToGrid/>
                <w:sz w:val="22"/>
                <w:szCs w:val="22"/>
              </w:rPr>
              <w:t xml:space="preserve"> 20% of the original contract price, after conclusion of the contract</w:t>
            </w:r>
          </w:p>
        </w:tc>
        <w:tc>
          <w:tcPr>
            <w:tcW w:w="1047" w:type="dxa"/>
            <w:shd w:val="clear" w:color="auto" w:fill="auto"/>
          </w:tcPr>
          <w:p w14:paraId="6CCAF8F1" w14:textId="67D458F5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46</w:t>
            </w:r>
            <w:r w:rsidR="00E11A09">
              <w:rPr>
                <w:rFonts w:eastAsia="Calibri"/>
                <w:snapToGrid/>
                <w:sz w:val="22"/>
                <w:szCs w:val="22"/>
              </w:rPr>
              <w:t>, 49</w:t>
            </w:r>
          </w:p>
        </w:tc>
      </w:tr>
      <w:tr w:rsidR="007A4169" w:rsidRPr="00DD74D3" w14:paraId="05EDCCA3" w14:textId="77777777" w:rsidTr="00F53745">
        <w:tc>
          <w:tcPr>
            <w:tcW w:w="360" w:type="dxa"/>
            <w:shd w:val="clear" w:color="auto" w:fill="auto"/>
          </w:tcPr>
          <w:p w14:paraId="104B9B51" w14:textId="77777777" w:rsidR="007A4169" w:rsidRPr="00DD74D3" w:rsidRDefault="007A4169" w:rsidP="007A4169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F921E56" w14:textId="77777777" w:rsidR="007A4169" w:rsidRPr="00F53745" w:rsidRDefault="007A4169" w:rsidP="007A4169">
            <w:pPr>
              <w:jc w:val="both"/>
              <w:rPr>
                <w:rFonts w:eastAsia="Calibri"/>
                <w:snapToGrid/>
                <w:sz w:val="22"/>
                <w:szCs w:val="22"/>
                <w:highlight w:val="green"/>
              </w:rPr>
            </w:pPr>
          </w:p>
        </w:tc>
        <w:tc>
          <w:tcPr>
            <w:tcW w:w="5972" w:type="dxa"/>
            <w:shd w:val="clear" w:color="auto" w:fill="auto"/>
          </w:tcPr>
          <w:p w14:paraId="63A28DA6" w14:textId="670C5BF8" w:rsidR="007A4169" w:rsidRPr="008F1E84" w:rsidRDefault="007A4169" w:rsidP="007A4169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 xml:space="preserve">Interim payment </w:t>
            </w:r>
            <w:r w:rsidR="00A738EF" w:rsidRPr="008F1E84">
              <w:rPr>
                <w:rFonts w:eastAsia="Calibri"/>
                <w:snapToGrid/>
                <w:sz w:val="22"/>
                <w:szCs w:val="22"/>
              </w:rPr>
              <w:t xml:space="preserve">up to </w:t>
            </w:r>
            <w:r w:rsidRPr="008F1E84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 w:rsidR="007D1A67">
              <w:rPr>
                <w:rFonts w:eastAsia="Calibri"/>
                <w:snapToGrid/>
                <w:sz w:val="22"/>
                <w:szCs w:val="22"/>
              </w:rPr>
              <w:t>7</w:t>
            </w:r>
            <w:bookmarkStart w:id="4" w:name="_GoBack"/>
            <w:bookmarkEnd w:id="4"/>
            <w:r w:rsidR="00E35683" w:rsidRPr="008F1E84">
              <w:rPr>
                <w:rFonts w:eastAsia="Calibri"/>
                <w:snapToGrid/>
                <w:sz w:val="22"/>
                <w:szCs w:val="22"/>
              </w:rPr>
              <w:t>0</w:t>
            </w:r>
            <w:r w:rsidRPr="008F1E84">
              <w:rPr>
                <w:rFonts w:eastAsia="Calibri"/>
                <w:snapToGrid/>
                <w:sz w:val="22"/>
                <w:szCs w:val="22"/>
              </w:rPr>
              <w:t>% of the contract price</w:t>
            </w:r>
            <w:r w:rsidR="000D00B4" w:rsidRPr="008F1E84">
              <w:rPr>
                <w:rFonts w:eastAsia="Calibri"/>
                <w:snapToGrid/>
                <w:sz w:val="22"/>
                <w:szCs w:val="22"/>
              </w:rPr>
              <w:t>-</w:t>
            </w:r>
            <w:r w:rsidRPr="008F1E84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 w:rsidR="00A738EF" w:rsidRPr="008F1E84">
              <w:rPr>
                <w:sz w:val="22"/>
                <w:szCs w:val="22"/>
              </w:rPr>
              <w:t>after submission of all necessary documents regarding the First temporary situation (“</w:t>
            </w:r>
            <w:r w:rsidR="00A738EF" w:rsidRPr="008F1E84">
              <w:rPr>
                <w:sz w:val="22"/>
                <w:szCs w:val="22"/>
                <w:lang w:val="sr-Latn-RS"/>
              </w:rPr>
              <w:t>prva privremena situacija</w:t>
            </w:r>
            <w:r w:rsidR="00A738EF" w:rsidRPr="008F1E84">
              <w:rPr>
                <w:sz w:val="22"/>
                <w:szCs w:val="22"/>
              </w:rPr>
              <w:t>”)upon the 45days of the contract implementation, with the approval of Supervisor, as a proof of the performed works, with up to 90% of the contract value and in accordance with the executed works.</w:t>
            </w:r>
          </w:p>
        </w:tc>
        <w:tc>
          <w:tcPr>
            <w:tcW w:w="1047" w:type="dxa"/>
            <w:shd w:val="clear" w:color="auto" w:fill="auto"/>
          </w:tcPr>
          <w:p w14:paraId="6E211349" w14:textId="77777777" w:rsidR="007A4169" w:rsidRPr="00DD74D3" w:rsidRDefault="007A4169" w:rsidP="007A4169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7A4169" w:rsidRPr="00BA6B6D" w14:paraId="040538F7" w14:textId="77777777" w:rsidTr="00F53745">
        <w:tc>
          <w:tcPr>
            <w:tcW w:w="360" w:type="dxa"/>
            <w:shd w:val="clear" w:color="auto" w:fill="auto"/>
          </w:tcPr>
          <w:p w14:paraId="4307882A" w14:textId="77777777" w:rsidR="007A4169" w:rsidRPr="00DD74D3" w:rsidRDefault="007A4169" w:rsidP="007A4169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2FF7CC4" w14:textId="77777777" w:rsidR="007A4169" w:rsidRPr="00F53745" w:rsidRDefault="007A4169" w:rsidP="007A4169">
            <w:pPr>
              <w:jc w:val="both"/>
              <w:rPr>
                <w:rFonts w:eastAsia="Calibri"/>
                <w:snapToGrid/>
                <w:sz w:val="22"/>
                <w:szCs w:val="22"/>
                <w:highlight w:val="green"/>
              </w:rPr>
            </w:pPr>
          </w:p>
        </w:tc>
        <w:tc>
          <w:tcPr>
            <w:tcW w:w="5972" w:type="dxa"/>
            <w:shd w:val="clear" w:color="auto" w:fill="auto"/>
          </w:tcPr>
          <w:p w14:paraId="6E6225F2" w14:textId="52E22EE8" w:rsidR="007A4169" w:rsidRPr="008F1E84" w:rsidRDefault="00F53745" w:rsidP="007A4169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>Final payment</w:t>
            </w:r>
            <w:r w:rsidR="007A4169" w:rsidRPr="008F1E84">
              <w:rPr>
                <w:rFonts w:eastAsia="Calibri"/>
                <w:snapToGrid/>
                <w:sz w:val="22"/>
                <w:szCs w:val="22"/>
              </w:rPr>
              <w:t xml:space="preserve"> for </w:t>
            </w:r>
            <w:r w:rsidR="000D00B4" w:rsidRPr="008F1E84">
              <w:rPr>
                <w:rFonts w:eastAsia="Calibri"/>
                <w:snapToGrid/>
                <w:sz w:val="22"/>
                <w:szCs w:val="22"/>
              </w:rPr>
              <w:t xml:space="preserve">min </w:t>
            </w:r>
            <w:r w:rsidR="007A4169" w:rsidRPr="008F1E84">
              <w:rPr>
                <w:rFonts w:eastAsia="Calibri"/>
                <w:snapToGrid/>
                <w:sz w:val="22"/>
                <w:szCs w:val="22"/>
              </w:rPr>
              <w:t xml:space="preserve">10% of the contract price, </w:t>
            </w:r>
            <w:r w:rsidR="000D00B4" w:rsidRPr="008F1E84">
              <w:rPr>
                <w:sz w:val="22"/>
                <w:szCs w:val="22"/>
                <w:lang w:eastAsia="en-GB"/>
              </w:rPr>
              <w:t xml:space="preserve">after </w:t>
            </w:r>
            <w:r w:rsidR="000D00B4" w:rsidRPr="008F1E84">
              <w:rPr>
                <w:sz w:val="22"/>
                <w:szCs w:val="22"/>
              </w:rPr>
              <w:t>finalization of works, the positive technical acceptance of works, the supervisor approval and the issuance of the final acceptance, balance payment will be made in accordance with the executed works.</w:t>
            </w:r>
          </w:p>
        </w:tc>
        <w:tc>
          <w:tcPr>
            <w:tcW w:w="1047" w:type="dxa"/>
            <w:shd w:val="clear" w:color="auto" w:fill="auto"/>
          </w:tcPr>
          <w:p w14:paraId="46569E57" w14:textId="7C06284B" w:rsidR="007A4169" w:rsidRPr="00DD74D3" w:rsidRDefault="007A4169" w:rsidP="007A4169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  <w:r w:rsidR="00A738EF">
              <w:rPr>
                <w:rFonts w:eastAsia="Calibri"/>
                <w:snapToGrid/>
                <w:sz w:val="22"/>
                <w:szCs w:val="22"/>
              </w:rPr>
              <w:t>, 51</w:t>
            </w:r>
          </w:p>
        </w:tc>
      </w:tr>
    </w:tbl>
    <w:p w14:paraId="57670889" w14:textId="77777777"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14:paraId="26BF6170" w14:textId="77777777"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14:paraId="1709CE39" w14:textId="77777777" w:rsidR="00CD2624" w:rsidRDefault="00CD2624" w:rsidP="002F0C4E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English in </w:t>
      </w:r>
      <w:r w:rsidR="00E35683">
        <w:rPr>
          <w:sz w:val="22"/>
          <w:szCs w:val="22"/>
        </w:rPr>
        <w:t xml:space="preserve">three originals, </w:t>
      </w:r>
      <w:r w:rsidRPr="00E35683">
        <w:rPr>
          <w:sz w:val="22"/>
          <w:szCs w:val="22"/>
        </w:rPr>
        <w:t xml:space="preserve">one original for the </w:t>
      </w:r>
      <w:r w:rsidR="0034613B" w:rsidRPr="00E35683">
        <w:rPr>
          <w:sz w:val="22"/>
          <w:szCs w:val="22"/>
        </w:rPr>
        <w:t>c</w:t>
      </w:r>
      <w:r w:rsidRPr="00E35683">
        <w:rPr>
          <w:sz w:val="22"/>
          <w:szCs w:val="22"/>
        </w:rPr>
        <w:t xml:space="preserve">ontracting </w:t>
      </w:r>
      <w:r w:rsidR="0034613B" w:rsidRPr="00E35683">
        <w:rPr>
          <w:sz w:val="22"/>
          <w:szCs w:val="22"/>
        </w:rPr>
        <w:t>a</w:t>
      </w:r>
      <w:r w:rsidRPr="00E35683">
        <w:rPr>
          <w:sz w:val="22"/>
          <w:szCs w:val="22"/>
        </w:rPr>
        <w:t xml:space="preserve">uthority, one original for the European Commission and one original for the </w:t>
      </w:r>
      <w:r w:rsidR="0034613B" w:rsidRPr="00E35683">
        <w:rPr>
          <w:sz w:val="22"/>
          <w:szCs w:val="22"/>
        </w:rPr>
        <w:t>c</w:t>
      </w:r>
      <w:r w:rsidRPr="00E35683">
        <w:rPr>
          <w:sz w:val="22"/>
          <w:szCs w:val="22"/>
        </w:rPr>
        <w:t>ontractor.</w:t>
      </w:r>
    </w:p>
    <w:p w14:paraId="6E390D96" w14:textId="77777777" w:rsidR="00E35683" w:rsidRPr="00E725FE" w:rsidRDefault="00E35683" w:rsidP="002F0C4E">
      <w:pPr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E725FE" w14:paraId="4996866A" w14:textId="77777777">
        <w:trPr>
          <w:trHeight w:val="520"/>
        </w:trPr>
        <w:tc>
          <w:tcPr>
            <w:tcW w:w="4253" w:type="dxa"/>
            <w:gridSpan w:val="2"/>
          </w:tcPr>
          <w:p w14:paraId="1DCB2C21" w14:textId="77777777"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14:paraId="1668B28D" w14:textId="77777777"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 w14:paraId="3489A03C" w14:textId="77777777">
        <w:trPr>
          <w:cantSplit/>
          <w:trHeight w:val="555"/>
        </w:trPr>
        <w:tc>
          <w:tcPr>
            <w:tcW w:w="1134" w:type="dxa"/>
          </w:tcPr>
          <w:p w14:paraId="2EAF7D61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14:paraId="1D69C928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56D1FA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14:paraId="63C26AD7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6B5E80B3" w14:textId="77777777">
        <w:trPr>
          <w:cantSplit/>
          <w:trHeight w:val="577"/>
        </w:trPr>
        <w:tc>
          <w:tcPr>
            <w:tcW w:w="1134" w:type="dxa"/>
          </w:tcPr>
          <w:p w14:paraId="1ED4E761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14:paraId="68BD35F3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CB9095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14:paraId="45766DC9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7661044D" w14:textId="77777777">
        <w:trPr>
          <w:cantSplit/>
          <w:trHeight w:val="878"/>
        </w:trPr>
        <w:tc>
          <w:tcPr>
            <w:tcW w:w="1134" w:type="dxa"/>
          </w:tcPr>
          <w:p w14:paraId="237C3436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14:paraId="6EEBC5B8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0D1655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14:paraId="1F1EA9B3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17AE01F7" w14:textId="77777777">
        <w:trPr>
          <w:cantSplit/>
          <w:trHeight w:val="428"/>
        </w:trPr>
        <w:tc>
          <w:tcPr>
            <w:tcW w:w="1134" w:type="dxa"/>
          </w:tcPr>
          <w:p w14:paraId="02EEFABB" w14:textId="77777777"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14:paraId="25159C0C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910301C" w14:textId="77777777"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14:paraId="0D12720D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98E1EC6" w14:textId="77777777"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EF5E1" w14:textId="77777777" w:rsidR="00764529" w:rsidRPr="00E725FE" w:rsidRDefault="00764529">
      <w:r w:rsidRPr="00E725FE">
        <w:separator/>
      </w:r>
    </w:p>
  </w:endnote>
  <w:endnote w:type="continuationSeparator" w:id="0">
    <w:p w14:paraId="56BE5302" w14:textId="77777777" w:rsidR="00764529" w:rsidRPr="00E725FE" w:rsidRDefault="00764529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367BF" w14:textId="77777777"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54FE01B" w14:textId="77777777"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2D06E" w14:textId="77777777" w:rsidR="009D1893" w:rsidRPr="00063B37" w:rsidRDefault="003D0290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8C7D9A"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8C7D9A"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14:paraId="0972C5BC" w14:textId="77777777"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5421" w14:textId="77777777"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14:paraId="30DB63D6" w14:textId="77777777"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1443F" w14:textId="77777777" w:rsidR="00764529" w:rsidRPr="00E725FE" w:rsidRDefault="00764529">
      <w:r w:rsidRPr="00E725FE">
        <w:separator/>
      </w:r>
    </w:p>
  </w:footnote>
  <w:footnote w:type="continuationSeparator" w:id="0">
    <w:p w14:paraId="11FEC26C" w14:textId="77777777" w:rsidR="00764529" w:rsidRPr="00E725FE" w:rsidRDefault="00764529">
      <w:r w:rsidRPr="00E725FE">
        <w:continuationSeparator/>
      </w:r>
    </w:p>
  </w:footnote>
  <w:footnote w:id="1">
    <w:p w14:paraId="4D2710E1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14:paraId="6EBF664C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14:paraId="3FC4544A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44996" w14:textId="77777777"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 xml:space="preserve">NO </w:t>
    </w:r>
    <w:r w:rsidR="000564DD" w:rsidRPr="000564DD">
      <w:rPr>
        <w:rFonts w:ascii="Times New Roman" w:hAnsi="Times New Roman"/>
        <w:sz w:val="22"/>
        <w:szCs w:val="22"/>
      </w:rPr>
      <w:t xml:space="preserve">CB007.2.12.034/PP2-TD06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D4AA1" w14:textId="77777777"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6"/>
  </w:num>
  <w:num w:numId="4">
    <w:abstractNumId w:val="7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9"/>
  </w:num>
  <w:num w:numId="8">
    <w:abstractNumId w:val="62"/>
  </w:num>
  <w:num w:numId="9">
    <w:abstractNumId w:val="23"/>
  </w:num>
  <w:num w:numId="10">
    <w:abstractNumId w:val="32"/>
  </w:num>
  <w:num w:numId="11">
    <w:abstractNumId w:val="10"/>
  </w:num>
  <w:num w:numId="12">
    <w:abstractNumId w:val="24"/>
  </w:num>
  <w:num w:numId="13">
    <w:abstractNumId w:val="46"/>
  </w:num>
  <w:num w:numId="14">
    <w:abstractNumId w:val="13"/>
  </w:num>
  <w:num w:numId="15">
    <w:abstractNumId w:val="34"/>
  </w:num>
  <w:num w:numId="16">
    <w:abstractNumId w:val="72"/>
  </w:num>
  <w:num w:numId="17">
    <w:abstractNumId w:val="12"/>
  </w:num>
  <w:num w:numId="18">
    <w:abstractNumId w:val="17"/>
  </w:num>
  <w:num w:numId="19">
    <w:abstractNumId w:val="47"/>
  </w:num>
  <w:num w:numId="20">
    <w:abstractNumId w:val="73"/>
  </w:num>
  <w:num w:numId="21">
    <w:abstractNumId w:val="25"/>
  </w:num>
  <w:num w:numId="22">
    <w:abstractNumId w:val="16"/>
  </w:num>
  <w:num w:numId="23">
    <w:abstractNumId w:val="78"/>
  </w:num>
  <w:num w:numId="24">
    <w:abstractNumId w:val="41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7"/>
  </w:num>
  <w:num w:numId="33">
    <w:abstractNumId w:val="11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1"/>
  </w:num>
  <w:num w:numId="41">
    <w:abstractNumId w:val="15"/>
  </w:num>
  <w:num w:numId="42">
    <w:abstractNumId w:val="38"/>
  </w:num>
  <w:num w:numId="43">
    <w:abstractNumId w:val="56"/>
  </w:num>
  <w:num w:numId="44">
    <w:abstractNumId w:val="68"/>
  </w:num>
  <w:num w:numId="45">
    <w:abstractNumId w:val="44"/>
  </w:num>
  <w:num w:numId="46">
    <w:abstractNumId w:val="50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49"/>
  </w:num>
  <w:num w:numId="52">
    <w:abstractNumId w:val="60"/>
  </w:num>
  <w:num w:numId="53">
    <w:abstractNumId w:val="6"/>
  </w:num>
  <w:num w:numId="54">
    <w:abstractNumId w:val="45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2"/>
  </w:num>
  <w:num w:numId="65">
    <w:abstractNumId w:val="18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19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64DD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12E5"/>
    <w:rsid w:val="000C549B"/>
    <w:rsid w:val="000C6752"/>
    <w:rsid w:val="000C7952"/>
    <w:rsid w:val="000D00B4"/>
    <w:rsid w:val="000D13E7"/>
    <w:rsid w:val="000D7C74"/>
    <w:rsid w:val="000E0648"/>
    <w:rsid w:val="000E537A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507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09DA"/>
    <w:rsid w:val="00382FE0"/>
    <w:rsid w:val="00386E36"/>
    <w:rsid w:val="00392541"/>
    <w:rsid w:val="003A2536"/>
    <w:rsid w:val="003A358D"/>
    <w:rsid w:val="003B4B51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5F78A8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2BFB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64529"/>
    <w:rsid w:val="00780E05"/>
    <w:rsid w:val="00785513"/>
    <w:rsid w:val="00797B52"/>
    <w:rsid w:val="007A1074"/>
    <w:rsid w:val="007A1685"/>
    <w:rsid w:val="007A4169"/>
    <w:rsid w:val="007A5020"/>
    <w:rsid w:val="007B00C5"/>
    <w:rsid w:val="007B1996"/>
    <w:rsid w:val="007C1642"/>
    <w:rsid w:val="007D1A67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313B5"/>
    <w:rsid w:val="008555A1"/>
    <w:rsid w:val="00857577"/>
    <w:rsid w:val="0085796F"/>
    <w:rsid w:val="008626D5"/>
    <w:rsid w:val="00866754"/>
    <w:rsid w:val="0086700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C7D9A"/>
    <w:rsid w:val="008E128B"/>
    <w:rsid w:val="008E4B88"/>
    <w:rsid w:val="008E7B76"/>
    <w:rsid w:val="008F0486"/>
    <w:rsid w:val="008F168A"/>
    <w:rsid w:val="008F1E84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80BB8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38EF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38F8"/>
    <w:rsid w:val="00AE4BF8"/>
    <w:rsid w:val="00AF0195"/>
    <w:rsid w:val="00B05F0A"/>
    <w:rsid w:val="00B078C7"/>
    <w:rsid w:val="00B110FD"/>
    <w:rsid w:val="00B11FAE"/>
    <w:rsid w:val="00B150F8"/>
    <w:rsid w:val="00B27726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1ACA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846BC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1A09"/>
    <w:rsid w:val="00E12E18"/>
    <w:rsid w:val="00E142EC"/>
    <w:rsid w:val="00E246FA"/>
    <w:rsid w:val="00E24C7B"/>
    <w:rsid w:val="00E25768"/>
    <w:rsid w:val="00E35683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53745"/>
    <w:rsid w:val="00F54C76"/>
    <w:rsid w:val="00F70558"/>
    <w:rsid w:val="00F709B6"/>
    <w:rsid w:val="00F81477"/>
    <w:rsid w:val="00F8386F"/>
    <w:rsid w:val="00F84471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30EEA9"/>
  <w15:chartTrackingRefBased/>
  <w15:docId w15:val="{880712A5-A40B-444D-837C-33A125F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3B7759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B7759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uiPriority w:val="22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B0216-6426-4F21-90CF-C26A9E33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Marija</cp:lastModifiedBy>
  <cp:revision>13</cp:revision>
  <cp:lastPrinted>2015-01-23T10:55:00Z</cp:lastPrinted>
  <dcterms:created xsi:type="dcterms:W3CDTF">2019-08-16T11:34:00Z</dcterms:created>
  <dcterms:modified xsi:type="dcterms:W3CDTF">2019-09-27T12:58:00Z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