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9C6" w:rsidRPr="00DD2F41" w:rsidRDefault="00752197">
      <w:pPr>
        <w:jc w:val="center"/>
        <w:rPr>
          <w:b/>
          <w:sz w:val="28"/>
          <w:szCs w:val="28"/>
          <w:lang w:val="en-GB"/>
        </w:rPr>
      </w:pPr>
      <w:r w:rsidRPr="00752197">
        <w:rPr>
          <w:snapToGrid/>
          <w:sz w:val="22"/>
          <w:szCs w:val="22"/>
          <w:lang w:val="en-GB"/>
        </w:rPr>
        <w:pict>
          <v:line id="_x0000_s1028" style="position:absolute;left:0;text-align:left;z-index:3"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76200F">
        <w:rPr>
          <w:b/>
          <w:sz w:val="28"/>
          <w:szCs w:val="28"/>
          <w:lang w:val="en-GB"/>
        </w:rPr>
        <w:t xml:space="preserve"> </w:t>
      </w:r>
      <w:r w:rsidR="002139C6" w:rsidRPr="00DD2F41">
        <w:rPr>
          <w:b/>
          <w:sz w:val="28"/>
          <w:szCs w:val="28"/>
          <w:lang w:val="en-GB"/>
        </w:rPr>
        <w:t>NOTICE</w:t>
      </w:r>
    </w:p>
    <w:p w:rsidR="00575ED0" w:rsidRPr="00815E4A" w:rsidRDefault="00575ED0" w:rsidP="00952E5C">
      <w:pPr>
        <w:spacing w:before="120" w:after="120"/>
        <w:jc w:val="center"/>
        <w:rPr>
          <w:b/>
          <w:sz w:val="22"/>
          <w:szCs w:val="22"/>
        </w:rPr>
      </w:pPr>
      <w:r w:rsidRPr="00815E4A">
        <w:rPr>
          <w:b/>
          <w:sz w:val="22"/>
          <w:szCs w:val="22"/>
          <w:lang w:val="bg-BG"/>
        </w:rPr>
        <w:t>„</w:t>
      </w:r>
      <w:r w:rsidRPr="00815E4A">
        <w:rPr>
          <w:b/>
          <w:snapToGrid/>
          <w:sz w:val="22"/>
          <w:szCs w:val="22"/>
          <w:lang w:val="bg-BG" w:eastAsia="en-GB"/>
        </w:rPr>
        <w:t>Construction works on Magurata Cave”</w:t>
      </w:r>
    </w:p>
    <w:p w:rsidR="005E63ED" w:rsidRPr="00815E4A" w:rsidRDefault="002139C6" w:rsidP="00952E5C">
      <w:pPr>
        <w:spacing w:before="120" w:after="120"/>
        <w:jc w:val="center"/>
        <w:rPr>
          <w:rStyle w:val="a6"/>
          <w:b w:val="0"/>
          <w:sz w:val="22"/>
          <w:szCs w:val="22"/>
          <w:lang w:val="en-GB"/>
        </w:rPr>
      </w:pPr>
      <w:r w:rsidRPr="00815E4A">
        <w:rPr>
          <w:b/>
          <w:sz w:val="22"/>
          <w:szCs w:val="22"/>
          <w:lang w:val="en-GB"/>
        </w:rPr>
        <w:t>Location</w:t>
      </w:r>
      <w:r w:rsidRPr="00815E4A">
        <w:rPr>
          <w:sz w:val="22"/>
          <w:szCs w:val="22"/>
          <w:lang w:val="en-GB"/>
        </w:rPr>
        <w:t xml:space="preserve"> </w:t>
      </w:r>
      <w:r w:rsidRPr="00815E4A">
        <w:rPr>
          <w:sz w:val="22"/>
          <w:szCs w:val="22"/>
          <w:lang w:val="en-GB"/>
        </w:rPr>
        <w:noBreakHyphen/>
        <w:t xml:space="preserve"> </w:t>
      </w:r>
      <w:r w:rsidR="00575ED0" w:rsidRPr="00815E4A">
        <w:rPr>
          <w:sz w:val="22"/>
          <w:szCs w:val="22"/>
          <w:lang w:val="en-GB"/>
        </w:rPr>
        <w:t>Republic of Bulgaria,</w:t>
      </w:r>
      <w:r w:rsidR="00575ED0" w:rsidRPr="00815E4A">
        <w:rPr>
          <w:rStyle w:val="jlqj4b"/>
          <w:sz w:val="22"/>
          <w:szCs w:val="22"/>
        </w:rPr>
        <w:t xml:space="preserve"> Vidin district</w:t>
      </w:r>
      <w:r w:rsidR="00575ED0" w:rsidRPr="00815E4A">
        <w:rPr>
          <w:sz w:val="22"/>
          <w:szCs w:val="22"/>
          <w:lang w:val="en-GB"/>
        </w:rPr>
        <w:t xml:space="preserve">, Belogradchik Municipality </w:t>
      </w:r>
    </w:p>
    <w:p w:rsidR="002139C6" w:rsidRPr="00815E4A" w:rsidRDefault="00D62A71" w:rsidP="00952E5C">
      <w:pPr>
        <w:pStyle w:val="PRAGHeading2"/>
        <w:tabs>
          <w:tab w:val="clear" w:pos="284"/>
          <w:tab w:val="num" w:pos="0"/>
        </w:tabs>
        <w:spacing w:before="120" w:after="120"/>
        <w:ind w:left="0"/>
        <w:rPr>
          <w:rStyle w:val="a6"/>
          <w:sz w:val="22"/>
          <w:szCs w:val="22"/>
          <w:lang w:val="en-GB"/>
        </w:rPr>
      </w:pPr>
      <w:r w:rsidRPr="00815E4A">
        <w:rPr>
          <w:rStyle w:val="a6"/>
          <w:sz w:val="22"/>
          <w:szCs w:val="22"/>
          <w:lang w:val="en-GB"/>
        </w:rPr>
        <w:t>R</w:t>
      </w:r>
      <w:r w:rsidR="002139C6" w:rsidRPr="00815E4A">
        <w:rPr>
          <w:rStyle w:val="a6"/>
          <w:sz w:val="22"/>
          <w:szCs w:val="22"/>
          <w:lang w:val="en-GB"/>
        </w:rPr>
        <w:t>eference</w:t>
      </w:r>
    </w:p>
    <w:p w:rsidR="00952E5C" w:rsidRPr="00815E4A" w:rsidRDefault="00952E5C" w:rsidP="00952E5C">
      <w:pPr>
        <w:pStyle w:val="PRAGHeading2"/>
        <w:numPr>
          <w:ilvl w:val="0"/>
          <w:numId w:val="0"/>
        </w:numPr>
        <w:spacing w:before="120" w:after="120"/>
        <w:rPr>
          <w:sz w:val="22"/>
          <w:szCs w:val="22"/>
          <w:lang w:val="en-GB"/>
        </w:rPr>
      </w:pPr>
      <w:r w:rsidRPr="00815E4A">
        <w:rPr>
          <w:sz w:val="22"/>
          <w:szCs w:val="22"/>
          <w:lang w:val="en-GB"/>
        </w:rPr>
        <w:t>CB007.2.11.064-WO-1</w:t>
      </w:r>
    </w:p>
    <w:p w:rsidR="002139C6" w:rsidRPr="00815E4A" w:rsidRDefault="002139C6" w:rsidP="00952E5C">
      <w:pPr>
        <w:pStyle w:val="PRAGHeading2"/>
        <w:tabs>
          <w:tab w:val="clear" w:pos="284"/>
          <w:tab w:val="num" w:pos="0"/>
        </w:tabs>
        <w:spacing w:before="120" w:after="120"/>
        <w:ind w:left="0"/>
        <w:rPr>
          <w:rStyle w:val="a6"/>
          <w:sz w:val="22"/>
          <w:szCs w:val="22"/>
          <w:lang w:val="en-GB"/>
        </w:rPr>
      </w:pPr>
      <w:r w:rsidRPr="00815E4A">
        <w:rPr>
          <w:rStyle w:val="a6"/>
          <w:sz w:val="22"/>
          <w:szCs w:val="22"/>
          <w:lang w:val="en-GB"/>
        </w:rPr>
        <w:t>Procedure</w:t>
      </w:r>
    </w:p>
    <w:p w:rsidR="00B76C69" w:rsidRPr="00815E4A" w:rsidRDefault="00ED60CD" w:rsidP="00952E5C">
      <w:pPr>
        <w:pStyle w:val="PRAGHeading2"/>
        <w:numPr>
          <w:ilvl w:val="0"/>
          <w:numId w:val="0"/>
        </w:numPr>
        <w:spacing w:before="120" w:after="120"/>
        <w:ind w:left="709"/>
        <w:rPr>
          <w:sz w:val="22"/>
          <w:szCs w:val="22"/>
          <w:lang w:val="en-GB"/>
        </w:rPr>
      </w:pPr>
      <w:r w:rsidRPr="00815E4A">
        <w:rPr>
          <w:sz w:val="22"/>
          <w:szCs w:val="22"/>
          <w:lang w:val="en-GB"/>
        </w:rPr>
        <w:t xml:space="preserve"> Simplified</w:t>
      </w:r>
    </w:p>
    <w:p w:rsidR="002139C6" w:rsidRPr="00815E4A" w:rsidRDefault="002139C6" w:rsidP="00952E5C">
      <w:pPr>
        <w:pStyle w:val="PRAGHeading2"/>
        <w:tabs>
          <w:tab w:val="clear" w:pos="284"/>
          <w:tab w:val="num" w:pos="0"/>
        </w:tabs>
        <w:spacing w:before="120" w:after="120"/>
        <w:ind w:left="0"/>
        <w:rPr>
          <w:rStyle w:val="a6"/>
          <w:sz w:val="22"/>
          <w:szCs w:val="22"/>
          <w:lang w:val="en-GB"/>
        </w:rPr>
      </w:pPr>
      <w:r w:rsidRPr="00815E4A">
        <w:rPr>
          <w:rStyle w:val="a6"/>
          <w:sz w:val="22"/>
          <w:szCs w:val="22"/>
          <w:lang w:val="en-GB"/>
        </w:rPr>
        <w:t>Programme</w:t>
      </w:r>
      <w:r w:rsidR="00A95184" w:rsidRPr="00815E4A">
        <w:rPr>
          <w:rStyle w:val="a6"/>
          <w:sz w:val="22"/>
          <w:szCs w:val="22"/>
          <w:lang w:val="en-GB"/>
        </w:rPr>
        <w:t xml:space="preserve"> title</w:t>
      </w:r>
    </w:p>
    <w:p w:rsidR="007E1C4C" w:rsidRPr="00815E4A" w:rsidRDefault="007E1C4C" w:rsidP="00952E5C">
      <w:pPr>
        <w:pStyle w:val="PRAGHeading2"/>
        <w:numPr>
          <w:ilvl w:val="0"/>
          <w:numId w:val="0"/>
        </w:numPr>
        <w:spacing w:before="120" w:after="120"/>
        <w:jc w:val="both"/>
        <w:rPr>
          <w:sz w:val="22"/>
          <w:szCs w:val="22"/>
          <w:lang w:val="en-GB"/>
        </w:rPr>
      </w:pPr>
      <w:r w:rsidRPr="00815E4A">
        <w:rPr>
          <w:sz w:val="22"/>
          <w:szCs w:val="22"/>
          <w:lang w:val="en-GB"/>
        </w:rPr>
        <w:t>Interreg-IPA Cross-border Cooperation Bulgaria-Serbia Programme 2014TC16I5CB007 (2001-2020</w:t>
      </w:r>
      <w:r w:rsidR="00510224" w:rsidRPr="00815E4A">
        <w:rPr>
          <w:sz w:val="22"/>
          <w:szCs w:val="22"/>
          <w:lang w:val="en-GB"/>
        </w:rPr>
        <w:t xml:space="preserve"> </w:t>
      </w:r>
      <w:r w:rsidRPr="00815E4A">
        <w:rPr>
          <w:sz w:val="22"/>
          <w:szCs w:val="22"/>
          <w:lang w:val="en-GB"/>
        </w:rPr>
        <w:t>) – Second call for proposals.</w:t>
      </w:r>
    </w:p>
    <w:p w:rsidR="002139C6" w:rsidRPr="00815E4A" w:rsidRDefault="002139C6" w:rsidP="00952E5C">
      <w:pPr>
        <w:pStyle w:val="PRAGHeading2"/>
        <w:tabs>
          <w:tab w:val="clear" w:pos="284"/>
          <w:tab w:val="num" w:pos="0"/>
        </w:tabs>
        <w:spacing w:before="120" w:after="120"/>
        <w:ind w:left="0"/>
        <w:jc w:val="both"/>
        <w:rPr>
          <w:rStyle w:val="a6"/>
          <w:sz w:val="22"/>
          <w:szCs w:val="22"/>
          <w:lang w:val="en-GB"/>
        </w:rPr>
      </w:pPr>
      <w:r w:rsidRPr="00815E4A">
        <w:rPr>
          <w:rStyle w:val="a6"/>
          <w:sz w:val="22"/>
          <w:szCs w:val="22"/>
          <w:lang w:val="en-GB"/>
        </w:rPr>
        <w:t>Financing</w:t>
      </w:r>
    </w:p>
    <w:p w:rsidR="002B5791" w:rsidRPr="00815E4A" w:rsidRDefault="002B5791" w:rsidP="00952E5C">
      <w:pPr>
        <w:spacing w:before="120" w:after="120"/>
        <w:jc w:val="both"/>
        <w:rPr>
          <w:sz w:val="22"/>
          <w:szCs w:val="22"/>
          <w:lang w:val="en-US"/>
        </w:rPr>
      </w:pPr>
      <w:r w:rsidRPr="00815E4A">
        <w:rPr>
          <w:sz w:val="22"/>
          <w:szCs w:val="22"/>
          <w:lang w:val="en-US"/>
        </w:rPr>
        <w:t xml:space="preserve">The project is co-financed by the European Union, in accordance with the rules of </w:t>
      </w:r>
      <w:r w:rsidRPr="00815E4A">
        <w:rPr>
          <w:bCs/>
          <w:iCs/>
          <w:sz w:val="22"/>
          <w:szCs w:val="22"/>
          <w:lang w:val="en-US"/>
        </w:rPr>
        <w:t>Interreg-IPA CBC Bulgaria-</w:t>
      </w:r>
      <w:bookmarkStart w:id="0" w:name="_Hlk54613157"/>
      <w:r w:rsidRPr="00815E4A">
        <w:rPr>
          <w:bCs/>
          <w:iCs/>
          <w:sz w:val="22"/>
          <w:szCs w:val="22"/>
          <w:lang w:val="en-US"/>
        </w:rPr>
        <w:t>Serbia Programme 2014-2020</w:t>
      </w:r>
      <w:r w:rsidRPr="00815E4A">
        <w:rPr>
          <w:bCs/>
          <w:sz w:val="22"/>
          <w:szCs w:val="22"/>
          <w:lang w:val="en-US"/>
        </w:rPr>
        <w:t xml:space="preserve">, </w:t>
      </w:r>
      <w:r w:rsidRPr="00815E4A">
        <w:rPr>
          <w:iCs/>
          <w:sz w:val="22"/>
          <w:szCs w:val="22"/>
          <w:lang w:val="en-US"/>
        </w:rPr>
        <w:t xml:space="preserve">CCI </w:t>
      </w:r>
      <w:r w:rsidRPr="00815E4A">
        <w:rPr>
          <w:sz w:val="22"/>
          <w:szCs w:val="22"/>
          <w:lang w:val="en-US"/>
        </w:rPr>
        <w:t>2014TC16I5CB007</w:t>
      </w:r>
      <w:bookmarkEnd w:id="0"/>
      <w:r w:rsidRPr="00815E4A">
        <w:rPr>
          <w:sz w:val="22"/>
          <w:szCs w:val="22"/>
          <w:lang w:val="en-US"/>
        </w:rPr>
        <w:t>, adopted by the European Commission with Decision No C(2015) 5444 on 30 July 2015.</w:t>
      </w:r>
    </w:p>
    <w:p w:rsidR="002B5791" w:rsidRPr="00815E4A" w:rsidRDefault="002B5791" w:rsidP="00952E5C">
      <w:pPr>
        <w:spacing w:before="120" w:after="120"/>
        <w:jc w:val="both"/>
        <w:rPr>
          <w:sz w:val="22"/>
          <w:szCs w:val="22"/>
          <w:lang w:val="bg-BG"/>
        </w:rPr>
      </w:pPr>
      <w:r w:rsidRPr="00815E4A">
        <w:rPr>
          <w:sz w:val="22"/>
          <w:szCs w:val="22"/>
          <w:lang w:val="en-US"/>
        </w:rPr>
        <w:t>The project is co-financed by the national budget of the Republic of Bulgaria and with own co-financing of the Serbian beneficiary.</w:t>
      </w:r>
    </w:p>
    <w:p w:rsidR="006C703D" w:rsidRPr="00952E5C" w:rsidRDefault="002139C6" w:rsidP="00952E5C">
      <w:pPr>
        <w:pStyle w:val="PRAGHeading2"/>
        <w:tabs>
          <w:tab w:val="clear" w:pos="284"/>
          <w:tab w:val="num" w:pos="0"/>
        </w:tabs>
        <w:spacing w:before="120" w:after="120"/>
        <w:ind w:left="0"/>
        <w:jc w:val="both"/>
        <w:rPr>
          <w:b/>
          <w:sz w:val="22"/>
          <w:szCs w:val="22"/>
          <w:lang w:val="en-GB"/>
        </w:rPr>
      </w:pPr>
      <w:r w:rsidRPr="00952E5C">
        <w:rPr>
          <w:rStyle w:val="a6"/>
          <w:sz w:val="22"/>
          <w:szCs w:val="22"/>
          <w:lang w:val="en-GB"/>
        </w:rPr>
        <w:t xml:space="preserve">Contracting </w:t>
      </w:r>
      <w:r w:rsidR="00391F9F" w:rsidRPr="00952E5C">
        <w:rPr>
          <w:rStyle w:val="a6"/>
          <w:sz w:val="22"/>
          <w:szCs w:val="22"/>
          <w:lang w:val="en-GB"/>
        </w:rPr>
        <w:t>a</w:t>
      </w:r>
      <w:r w:rsidRPr="00952E5C">
        <w:rPr>
          <w:rStyle w:val="a6"/>
          <w:sz w:val="22"/>
          <w:szCs w:val="22"/>
          <w:lang w:val="en-GB"/>
        </w:rPr>
        <w:t>uthority</w:t>
      </w:r>
    </w:p>
    <w:p w:rsidR="002B5791" w:rsidRPr="00952E5C" w:rsidRDefault="002B5791" w:rsidP="00952E5C">
      <w:pPr>
        <w:pStyle w:val="Blockquote"/>
        <w:spacing w:before="120" w:after="120"/>
        <w:ind w:left="0"/>
        <w:jc w:val="both"/>
        <w:rPr>
          <w:rStyle w:val="jlqj4b"/>
          <w:b/>
          <w:sz w:val="22"/>
          <w:szCs w:val="22"/>
          <w:lang w:val="bg-BG"/>
        </w:rPr>
      </w:pPr>
      <w:r w:rsidRPr="00952E5C">
        <w:rPr>
          <w:rStyle w:val="jlqj4b"/>
          <w:b/>
          <w:sz w:val="22"/>
          <w:szCs w:val="22"/>
        </w:rPr>
        <w:t xml:space="preserve">MUNICIPALITY OF BELOGRADCHIK </w:t>
      </w:r>
    </w:p>
    <w:p w:rsidR="002B5791" w:rsidRPr="00952E5C" w:rsidRDefault="002B5791" w:rsidP="00952E5C">
      <w:pPr>
        <w:pStyle w:val="Blockquote"/>
        <w:spacing w:before="120" w:after="120"/>
        <w:ind w:left="0" w:right="4"/>
        <w:jc w:val="both"/>
        <w:rPr>
          <w:sz w:val="22"/>
          <w:szCs w:val="22"/>
          <w:lang w:val="en-US"/>
        </w:rPr>
      </w:pPr>
      <w:r w:rsidRPr="00952E5C">
        <w:rPr>
          <w:rStyle w:val="jlqj4b"/>
          <w:sz w:val="22"/>
          <w:szCs w:val="22"/>
        </w:rPr>
        <w:t xml:space="preserve">Address: </w:t>
      </w:r>
      <w:r w:rsidRPr="00952E5C">
        <w:rPr>
          <w:bCs/>
          <w:sz w:val="22"/>
          <w:szCs w:val="22"/>
          <w:lang w:val="en-US"/>
        </w:rPr>
        <w:t>Republic of Bulgaria</w:t>
      </w:r>
      <w:r w:rsidRPr="00952E5C">
        <w:rPr>
          <w:sz w:val="22"/>
          <w:szCs w:val="22"/>
          <w:lang w:val="bg-BG"/>
        </w:rPr>
        <w:t xml:space="preserve">, </w:t>
      </w:r>
      <w:r w:rsidRPr="00952E5C">
        <w:rPr>
          <w:rStyle w:val="jlqj4b"/>
          <w:sz w:val="22"/>
          <w:szCs w:val="22"/>
        </w:rPr>
        <w:t>Vidin district, Belogradchik town, Knyaz Boris I street №6</w:t>
      </w:r>
    </w:p>
    <w:p w:rsidR="002B5791" w:rsidRPr="00952E5C" w:rsidRDefault="002B5791" w:rsidP="00952E5C">
      <w:pPr>
        <w:pStyle w:val="Blockquote"/>
        <w:spacing w:before="120" w:after="120"/>
        <w:ind w:left="709"/>
        <w:jc w:val="both"/>
        <w:rPr>
          <w:sz w:val="22"/>
          <w:szCs w:val="22"/>
          <w:lang w:val="bg-BG"/>
        </w:rPr>
      </w:pPr>
    </w:p>
    <w:p w:rsidR="002139C6" w:rsidRPr="00DD2F41" w:rsidRDefault="00752197" w:rsidP="00952E5C">
      <w:pPr>
        <w:spacing w:before="120" w:after="120"/>
        <w:ind w:left="360"/>
        <w:jc w:val="center"/>
        <w:rPr>
          <w:rStyle w:val="a6"/>
          <w:sz w:val="22"/>
          <w:szCs w:val="22"/>
          <w:lang w:val="en-GB"/>
        </w:rPr>
      </w:pPr>
      <w:r w:rsidRPr="00752197">
        <w:rPr>
          <w:b/>
          <w:noProof/>
          <w:snapToGrid/>
          <w:sz w:val="22"/>
          <w:szCs w:val="22"/>
          <w:lang w:val="en-GB" w:eastAsia="en-GB"/>
        </w:rPr>
        <w:pict>
          <v:line id="_x0000_s1030" style="position:absolute;left:0;text-align:left;z-index:5" from="2.25pt,-.45pt" to="470.25pt,-.4pt" o:allowincell="f" strokecolor="#d4d4d4" strokeweight="1.75pt">
            <v:shadow on="t" origin=",32385f" offset="0,-1pt"/>
          </v:line>
        </w:pict>
      </w:r>
      <w:r w:rsidR="002139C6" w:rsidRPr="00DD2F41">
        <w:rPr>
          <w:rStyle w:val="a6"/>
          <w:sz w:val="22"/>
          <w:szCs w:val="22"/>
          <w:lang w:val="en-GB"/>
        </w:rPr>
        <w:t>CONTRACT SPECIFICATIONS</w:t>
      </w:r>
    </w:p>
    <w:p w:rsidR="00D62A71" w:rsidRDefault="00D62A71" w:rsidP="00952E5C">
      <w:pPr>
        <w:pStyle w:val="PRAGHeading2"/>
        <w:spacing w:before="120" w:after="120"/>
        <w:rPr>
          <w:rStyle w:val="a6"/>
          <w:sz w:val="22"/>
          <w:szCs w:val="22"/>
          <w:lang w:val="en-GB"/>
        </w:rPr>
      </w:pPr>
      <w:r>
        <w:rPr>
          <w:rStyle w:val="a6"/>
          <w:sz w:val="22"/>
          <w:szCs w:val="22"/>
          <w:lang w:val="en-GB"/>
        </w:rPr>
        <w:t>Nature of contract</w:t>
      </w:r>
    </w:p>
    <w:p w:rsidR="00D62A71" w:rsidRPr="00D62A71" w:rsidRDefault="00AD0BF2" w:rsidP="00952E5C">
      <w:pPr>
        <w:pStyle w:val="PRAGHeading2"/>
        <w:numPr>
          <w:ilvl w:val="0"/>
          <w:numId w:val="0"/>
        </w:numPr>
        <w:spacing w:before="120" w:after="120"/>
        <w:ind w:left="720"/>
        <w:rPr>
          <w:rStyle w:val="a6"/>
          <w:b w:val="0"/>
          <w:sz w:val="22"/>
          <w:szCs w:val="22"/>
          <w:lang w:val="en-GB"/>
        </w:rPr>
      </w:pPr>
      <w:r>
        <w:rPr>
          <w:rStyle w:val="a6"/>
          <w:b w:val="0"/>
          <w:sz w:val="22"/>
          <w:szCs w:val="22"/>
          <w:lang w:val="en-GB"/>
        </w:rPr>
        <w:t>Lump-sum</w:t>
      </w:r>
    </w:p>
    <w:p w:rsidR="002139C6" w:rsidRPr="00DD2F41" w:rsidRDefault="002139C6" w:rsidP="00952E5C">
      <w:pPr>
        <w:pStyle w:val="PRAGHeading2"/>
        <w:spacing w:before="120" w:after="120"/>
        <w:rPr>
          <w:rStyle w:val="a6"/>
          <w:sz w:val="22"/>
          <w:szCs w:val="22"/>
          <w:lang w:val="en-GB"/>
        </w:rPr>
      </w:pPr>
      <w:r w:rsidRPr="00DD2F41">
        <w:rPr>
          <w:rStyle w:val="a6"/>
          <w:sz w:val="22"/>
          <w:szCs w:val="22"/>
          <w:lang w:val="en-GB"/>
        </w:rPr>
        <w:t>Description of the contract</w:t>
      </w:r>
    </w:p>
    <w:p w:rsidR="00A20C12" w:rsidRPr="00815E4A" w:rsidRDefault="00A20C12" w:rsidP="00952E5C">
      <w:pPr>
        <w:spacing w:before="120" w:after="120"/>
        <w:jc w:val="both"/>
        <w:rPr>
          <w:rStyle w:val="jlqj4b"/>
          <w:lang w:val="bg-BG"/>
        </w:rPr>
      </w:pPr>
      <w:r w:rsidRPr="00815E4A">
        <w:rPr>
          <w:rStyle w:val="jlqj4b"/>
        </w:rPr>
        <w:t>The contract provides for the improvement of the tourist attractiveness of the Magurata cave.</w:t>
      </w:r>
      <w:r w:rsidRPr="00815E4A">
        <w:t xml:space="preserve"> </w:t>
      </w:r>
      <w:r w:rsidRPr="00815E4A">
        <w:rPr>
          <w:rStyle w:val="jlqj4b"/>
        </w:rPr>
        <w:t xml:space="preserve">Magura </w:t>
      </w:r>
      <w:r w:rsidRPr="00815E4A">
        <w:rPr>
          <w:rStyle w:val="jlqj4b"/>
        </w:rPr>
        <w:lastRenderedPageBreak/>
        <w:t>Cave is one of the largest and most beautiful caves in Bulgaria. The site is declared as immovable cultural value of "National significance", (State Gazette, issue 41/1965). It is included in the Indicative list of cultural and natural heritage of Republic of Bulgaria (UNESCO) since 01.10.1984.</w:t>
      </w:r>
      <w:r w:rsidRPr="00815E4A">
        <w:rPr>
          <w:rStyle w:val="jlqj4b"/>
          <w:lang w:val="bg-BG"/>
        </w:rPr>
        <w:t xml:space="preserve"> </w:t>
      </w:r>
      <w:r w:rsidRPr="00815E4A">
        <w:rPr>
          <w:rStyle w:val="jlqj4b"/>
        </w:rPr>
        <w:t>In order to improve the attractiveness of the cave, it is planned to replace the existing lighting with energy efficient ones and to improve the paths and railings for tourists.</w:t>
      </w:r>
    </w:p>
    <w:p w:rsidR="00B24E1F" w:rsidRPr="00DD2F41" w:rsidRDefault="00B24E1F" w:rsidP="00952E5C">
      <w:pPr>
        <w:pStyle w:val="PRAGHeading2"/>
        <w:spacing w:before="120" w:after="120"/>
        <w:rPr>
          <w:rStyle w:val="a6"/>
          <w:sz w:val="22"/>
          <w:szCs w:val="22"/>
          <w:lang w:val="en-GB"/>
        </w:rPr>
      </w:pPr>
      <w:r>
        <w:rPr>
          <w:rStyle w:val="a6"/>
          <w:sz w:val="22"/>
          <w:szCs w:val="22"/>
          <w:lang w:val="en-GB"/>
        </w:rPr>
        <w:t>Provisional commencement date of the contract</w:t>
      </w:r>
    </w:p>
    <w:p w:rsidR="00B24E1F" w:rsidRPr="005B18F6" w:rsidRDefault="00952E5C" w:rsidP="00952E5C">
      <w:pPr>
        <w:spacing w:before="120" w:after="120"/>
        <w:ind w:left="709"/>
        <w:rPr>
          <w:sz w:val="22"/>
          <w:szCs w:val="22"/>
          <w:lang w:val="bg-BG"/>
        </w:rPr>
      </w:pPr>
      <w:r w:rsidRPr="005B18F6">
        <w:rPr>
          <w:sz w:val="22"/>
          <w:szCs w:val="22"/>
          <w:lang w:val="bg-BG"/>
        </w:rPr>
        <w:t xml:space="preserve">07.02.2022 </w:t>
      </w:r>
    </w:p>
    <w:p w:rsidR="002E09EF" w:rsidRPr="002E09EF" w:rsidRDefault="002E09EF" w:rsidP="00952E5C">
      <w:pPr>
        <w:pStyle w:val="PRAGHeading2"/>
        <w:spacing w:before="120" w:after="120"/>
        <w:rPr>
          <w:rStyle w:val="a6"/>
          <w:b w:val="0"/>
          <w:sz w:val="22"/>
          <w:szCs w:val="22"/>
          <w:lang w:val="en-GB"/>
        </w:rPr>
      </w:pPr>
      <w:r w:rsidRPr="002E09EF">
        <w:rPr>
          <w:rStyle w:val="a6"/>
          <w:b w:val="0"/>
          <w:sz w:val="22"/>
          <w:szCs w:val="22"/>
          <w:lang w:val="en-GB"/>
        </w:rPr>
        <w:t>P</w:t>
      </w:r>
      <w:r w:rsidRPr="002E09EF">
        <w:rPr>
          <w:b/>
          <w:sz w:val="22"/>
          <w:szCs w:val="22"/>
          <w:lang w:val="en-GB"/>
        </w:rPr>
        <w:t>eriod of implementation of tasks</w:t>
      </w:r>
    </w:p>
    <w:p w:rsidR="00232D3A" w:rsidRPr="00D1515C" w:rsidRDefault="00232D3A" w:rsidP="00952E5C">
      <w:pPr>
        <w:spacing w:before="120" w:after="120"/>
        <w:jc w:val="both"/>
        <w:rPr>
          <w:sz w:val="22"/>
          <w:szCs w:val="22"/>
          <w:lang w:val="bg-BG"/>
        </w:rPr>
      </w:pPr>
      <w:r w:rsidRPr="00D1515C">
        <w:rPr>
          <w:sz w:val="22"/>
          <w:szCs w:val="22"/>
          <w:lang w:val="bg-BG"/>
        </w:rPr>
        <w:t xml:space="preserve">Period of implementation of the tasks will be no more than </w:t>
      </w:r>
      <w:r w:rsidR="009025A0" w:rsidRPr="00D1515C">
        <w:rPr>
          <w:b/>
          <w:sz w:val="22"/>
          <w:szCs w:val="22"/>
          <w:lang w:val="bg-BG"/>
        </w:rPr>
        <w:t>90 calendar days (ninety</w:t>
      </w:r>
      <w:r w:rsidRPr="00D1515C">
        <w:rPr>
          <w:b/>
          <w:sz w:val="22"/>
          <w:szCs w:val="22"/>
          <w:lang w:val="bg-BG"/>
        </w:rPr>
        <w:t>)</w:t>
      </w:r>
      <w:r w:rsidRPr="00D1515C">
        <w:rPr>
          <w:sz w:val="22"/>
          <w:szCs w:val="22"/>
          <w:lang w:val="bg-BG"/>
        </w:rPr>
        <w:t>, calculated from the date of drawing up a Protocol for opening a construction site and for determining the construction line and level (Annexes № 2 and 2a) to the date of drawing up a Statement of findings to establish the suitability for acceptance of the construction  (Annex № 15), according to the Bulgarian ORDINANCE № 3 OF 31 JULY 2003 FOR DRAWING UP ACTS AND PROTOCOLS DURING THE CONSTRUCTION (Issued by the Bulgarian Minister of Regional Development and Public Works).</w:t>
      </w:r>
    </w:p>
    <w:p w:rsidR="00232D3A" w:rsidRPr="00D1515C" w:rsidRDefault="00232D3A" w:rsidP="00952E5C">
      <w:pPr>
        <w:spacing w:before="120" w:after="120"/>
        <w:jc w:val="both"/>
        <w:rPr>
          <w:sz w:val="22"/>
          <w:szCs w:val="22"/>
          <w:lang w:val="bg-BG"/>
        </w:rPr>
      </w:pPr>
      <w:r w:rsidRPr="00D1515C">
        <w:rPr>
          <w:sz w:val="22"/>
          <w:szCs w:val="22"/>
          <w:lang w:val="bg-BG"/>
        </w:rPr>
        <w:t>Note: In the determined period under p.9. or in the proposed by the tenderer period of implementation of tasks (as per the Volume 1/Section 4/Form 4.6.3.</w:t>
      </w:r>
      <w:r w:rsidRPr="00D1515C">
        <w:rPr>
          <w:rStyle w:val="a3"/>
        </w:rPr>
        <w:t>-Wprking plan and programme) the period or the periods of the temporary stop of the execution of works as per the National legislation is/are included.</w:t>
      </w:r>
    </w:p>
    <w:p w:rsidR="00232D3A" w:rsidRPr="00D1515C" w:rsidRDefault="00232D3A" w:rsidP="00952E5C">
      <w:pPr>
        <w:spacing w:before="120" w:after="120"/>
        <w:jc w:val="both"/>
        <w:rPr>
          <w:sz w:val="22"/>
          <w:szCs w:val="22"/>
          <w:lang w:val="bg-BG"/>
        </w:rPr>
      </w:pPr>
      <w:r w:rsidRPr="00D1515C">
        <w:rPr>
          <w:sz w:val="22"/>
          <w:szCs w:val="22"/>
          <w:lang w:val="bg-BG"/>
        </w:rPr>
        <w:t>For the purpose of the present contract “Implementation of tasks” means physical execution (accompanied also with all acts, protocols and all relevant documentary evidence for quality performance) of the planned works (Construction and Montage Works), subject of the Contract, described in the approved Works Design and listed in the Financial offer/Volume 4.2.3. “Breakdown of the lump-sum prices”.</w:t>
      </w:r>
    </w:p>
    <w:p w:rsidR="00B24E1F" w:rsidRPr="00D1515C" w:rsidRDefault="009025A0" w:rsidP="00952E5C">
      <w:pPr>
        <w:spacing w:before="120" w:after="120"/>
        <w:jc w:val="both"/>
        <w:rPr>
          <w:sz w:val="22"/>
          <w:szCs w:val="22"/>
          <w:lang w:val="bg-BG"/>
        </w:rPr>
      </w:pPr>
      <w:r w:rsidRPr="00D1515C">
        <w:rPr>
          <w:sz w:val="22"/>
          <w:szCs w:val="22"/>
          <w:lang w:val="bg-BG"/>
        </w:rPr>
        <w:t>The Contract will be considered fulfilled after issuing of Statement of findings to establish the suitability for acceptance of the construction  (Annex № 15)from the ORDINANCE № 3 OF 31 JULY 2003 FOR DRAWING UP ACTS AND PROTOCOLS DURING THE CONSTRUCTION (Issued by the Bulgarian Minister of Regional Development and Public Works), but not later than  01.07.2022.</w:t>
      </w:r>
    </w:p>
    <w:p w:rsidR="002139C6" w:rsidRPr="00DD2F41" w:rsidRDefault="00752197" w:rsidP="00952E5C">
      <w:pPr>
        <w:spacing w:before="120" w:after="120"/>
        <w:ind w:left="360"/>
        <w:jc w:val="center"/>
        <w:rPr>
          <w:rStyle w:val="a6"/>
          <w:sz w:val="22"/>
          <w:szCs w:val="22"/>
          <w:lang w:val="en-GB"/>
        </w:rPr>
      </w:pPr>
      <w:r w:rsidRPr="00752197">
        <w:rPr>
          <w:b/>
          <w:noProof/>
          <w:snapToGrid/>
          <w:sz w:val="22"/>
          <w:szCs w:val="22"/>
          <w:lang w:val="en-GB" w:eastAsia="en-GB"/>
        </w:rPr>
        <w:pict>
          <v:line id="_x0000_s1029" style="position:absolute;left:0;text-align:left;z-index:4" from="2.25pt,.9pt" to="470.25pt,.95pt" o:allowincell="f" strokecolor="#d4d4d4" strokeweight="1.75pt">
            <v:shadow on="t" origin=",32385f" offset="0,-1pt"/>
          </v:line>
        </w:pict>
      </w:r>
      <w:r w:rsidR="002139C6" w:rsidRPr="00DD2F41">
        <w:rPr>
          <w:rStyle w:val="a6"/>
          <w:sz w:val="22"/>
          <w:szCs w:val="22"/>
          <w:lang w:val="en-GB"/>
        </w:rPr>
        <w:t>TERMS OF PARTICIPATION</w:t>
      </w:r>
    </w:p>
    <w:p w:rsidR="002139C6" w:rsidRPr="00D275AD" w:rsidRDefault="002139C6" w:rsidP="00952E5C">
      <w:pPr>
        <w:pStyle w:val="PRAGHeading2"/>
        <w:spacing w:before="120" w:after="120"/>
        <w:rPr>
          <w:rStyle w:val="a6"/>
          <w:sz w:val="22"/>
          <w:szCs w:val="22"/>
          <w:lang w:val="en-GB"/>
        </w:rPr>
      </w:pPr>
      <w:r w:rsidRPr="00DD2F41">
        <w:rPr>
          <w:rStyle w:val="a6"/>
          <w:sz w:val="22"/>
          <w:szCs w:val="22"/>
          <w:lang w:val="en-GB"/>
        </w:rPr>
        <w:t xml:space="preserve">Eligibility </w:t>
      </w:r>
      <w:r w:rsidRPr="00D275AD">
        <w:rPr>
          <w:rStyle w:val="a6"/>
          <w:sz w:val="22"/>
          <w:szCs w:val="22"/>
          <w:lang w:val="en-GB"/>
        </w:rPr>
        <w:t>and rules of origin</w:t>
      </w:r>
    </w:p>
    <w:p w:rsidR="00A717AA" w:rsidRPr="00D1515C" w:rsidRDefault="00A717AA" w:rsidP="00952E5C">
      <w:pPr>
        <w:pStyle w:val="PRAGHeading2"/>
        <w:numPr>
          <w:ilvl w:val="0"/>
          <w:numId w:val="0"/>
        </w:numPr>
        <w:spacing w:before="120" w:after="120"/>
        <w:jc w:val="both"/>
        <w:rPr>
          <w:sz w:val="22"/>
          <w:szCs w:val="22"/>
          <w:highlight w:val="yellow"/>
          <w:lang w:val="en-GB"/>
        </w:rPr>
      </w:pPr>
      <w:r w:rsidRPr="00D1515C">
        <w:rPr>
          <w:sz w:val="22"/>
          <w:szCs w:val="22"/>
          <w:lang w:val="en-GB"/>
        </w:rPr>
        <w:t>Participation in this tender procedure is open not  only to the invited tenderers.</w:t>
      </w:r>
    </w:p>
    <w:p w:rsidR="00A717AA" w:rsidRPr="00D1515C" w:rsidRDefault="00A717AA" w:rsidP="00952E5C">
      <w:pPr>
        <w:pStyle w:val="PRAGHeading2"/>
        <w:numPr>
          <w:ilvl w:val="0"/>
          <w:numId w:val="0"/>
        </w:numPr>
        <w:spacing w:before="120" w:after="120"/>
        <w:jc w:val="both"/>
        <w:rPr>
          <w:sz w:val="22"/>
          <w:szCs w:val="22"/>
          <w:lang w:val="en-GB"/>
        </w:rPr>
      </w:pPr>
      <w:r w:rsidRPr="00D1515C">
        <w:rPr>
          <w:sz w:val="22"/>
          <w:szCs w:val="22"/>
          <w:lang w:val="en-GB"/>
        </w:rPr>
        <w:t xml:space="preserve">Participation is open to all </w:t>
      </w:r>
      <w:r w:rsidRPr="00D1515C">
        <w:rPr>
          <w:rFonts w:eastAsia="Calibri" w:cs="Arial"/>
          <w:sz w:val="22"/>
          <w:szCs w:val="22"/>
          <w:lang w:val="en-GB"/>
        </w:rPr>
        <w:t xml:space="preserve">natural persons who are nationals of and </w:t>
      </w:r>
      <w:r w:rsidRPr="00D1515C">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1515C">
        <w:rPr>
          <w:rFonts w:eastAsia="Calibri" w:cs="Arial"/>
          <w:bCs/>
          <w:snapToGrid/>
          <w:sz w:val="22"/>
          <w:szCs w:val="22"/>
          <w:lang w:val="en-GB"/>
        </w:rPr>
        <w:t xml:space="preserve">the Regulation </w:t>
      </w:r>
      <w:r w:rsidRPr="00D1515C">
        <w:rPr>
          <w:sz w:val="22"/>
          <w:szCs w:val="22"/>
          <w:lang w:val="en-GB"/>
        </w:rPr>
        <w:t>(EU) No </w:t>
      </w:r>
      <w:r w:rsidRPr="00D1515C">
        <w:rPr>
          <w:rFonts w:eastAsia="MS Mincho"/>
          <w:noProof/>
          <w:sz w:val="22"/>
          <w:szCs w:val="22"/>
          <w:lang w:val="en-GB" w:eastAsia="ja-JP"/>
        </w:rPr>
        <w:t xml:space="preserve">236/2014 </w:t>
      </w:r>
      <w:r w:rsidRPr="00D1515C">
        <w:rPr>
          <w:rFonts w:eastAsia="Calibri" w:cs="Arial"/>
          <w:bCs/>
          <w:snapToGrid/>
          <w:sz w:val="22"/>
          <w:szCs w:val="22"/>
          <w:lang w:val="en-GB"/>
        </w:rPr>
        <w:t xml:space="preserve">establishing common rules and procedures for the implementation of the Union's instruments for external action (CIR) </w:t>
      </w:r>
      <w:r w:rsidRPr="00D1515C">
        <w:rPr>
          <w:sz w:val="22"/>
          <w:szCs w:val="22"/>
          <w:lang w:val="en-GB"/>
        </w:rPr>
        <w:t>for the applicable Instrument under which the contract is financed (see also heading 17 below)</w:t>
      </w:r>
      <w:r w:rsidRPr="00D1515C">
        <w:rPr>
          <w:rFonts w:eastAsia="Calibri" w:cs="Arial"/>
          <w:sz w:val="22"/>
          <w:szCs w:val="22"/>
          <w:lang w:val="en-GB"/>
        </w:rPr>
        <w:t xml:space="preserve">. </w:t>
      </w:r>
      <w:r w:rsidRPr="00D1515C">
        <w:rPr>
          <w:sz w:val="22"/>
          <w:szCs w:val="22"/>
          <w:lang w:val="en-GB"/>
        </w:rPr>
        <w:t xml:space="preserve">Participation is also open to international organisations. All goods purchased under the contract must originate </w:t>
      </w:r>
      <w:r w:rsidRPr="00D1515C">
        <w:rPr>
          <w:sz w:val="22"/>
          <w:szCs w:val="22"/>
          <w:lang w:val="en-GB"/>
        </w:rPr>
        <w:lastRenderedPageBreak/>
        <w:t xml:space="preserve">from an eligible source country as defined above. However, the goods to be purchased may originate from any country, whenever the total price of the estimated quantity of those goods, as reflected in a separate item of the breakdown of the lump-sum price (Volume 4.2.3) is below EUR 100 000. </w:t>
      </w:r>
    </w:p>
    <w:p w:rsidR="007214F6" w:rsidRPr="007214F6" w:rsidRDefault="00A717AA" w:rsidP="00952E5C">
      <w:pPr>
        <w:pStyle w:val="PRAGHeading2"/>
        <w:numPr>
          <w:ilvl w:val="0"/>
          <w:numId w:val="0"/>
        </w:numPr>
        <w:spacing w:before="120" w:after="120"/>
        <w:rPr>
          <w:lang w:val="bg-BG"/>
        </w:rPr>
      </w:pPr>
      <w:bookmarkStart w:id="1" w:name="_DV_M201"/>
      <w:bookmarkEnd w:id="1"/>
      <w:r w:rsidRPr="0080021A">
        <w:rPr>
          <w:lang w:val="en-IE"/>
        </w:rPr>
        <w:t>For more details: see p.2.3.from the PRAG.</w:t>
      </w:r>
    </w:p>
    <w:p w:rsidR="002139C6" w:rsidRPr="00B24E1F" w:rsidRDefault="00B24E1F" w:rsidP="00952E5C">
      <w:pPr>
        <w:pStyle w:val="PRAGHeading2"/>
        <w:keepNext/>
        <w:keepLines/>
        <w:spacing w:before="120" w:after="120"/>
        <w:jc w:val="both"/>
        <w:rPr>
          <w:rStyle w:val="a6"/>
          <w:sz w:val="22"/>
          <w:szCs w:val="22"/>
          <w:lang w:val="en-GB"/>
        </w:rPr>
      </w:pPr>
      <w:r w:rsidRPr="00B24E1F">
        <w:rPr>
          <w:rStyle w:val="a6"/>
          <w:sz w:val="22"/>
          <w:szCs w:val="22"/>
          <w:lang w:val="en-GB"/>
        </w:rPr>
        <w:t>Subcontracting</w:t>
      </w:r>
    </w:p>
    <w:p w:rsidR="00A717AA" w:rsidRPr="00D1515C" w:rsidRDefault="00B24E1F" w:rsidP="00952E5C">
      <w:pPr>
        <w:pStyle w:val="PRAGHeading2"/>
        <w:keepNext/>
        <w:keepLines/>
        <w:numPr>
          <w:ilvl w:val="0"/>
          <w:numId w:val="0"/>
        </w:numPr>
        <w:spacing w:before="120" w:after="120"/>
        <w:ind w:left="284"/>
        <w:jc w:val="both"/>
        <w:rPr>
          <w:rStyle w:val="a6"/>
          <w:b w:val="0"/>
          <w:sz w:val="22"/>
          <w:szCs w:val="22"/>
          <w:lang w:val="bg-BG"/>
        </w:rPr>
      </w:pPr>
      <w:r w:rsidRPr="00D1515C">
        <w:rPr>
          <w:rStyle w:val="a6"/>
          <w:b w:val="0"/>
          <w:sz w:val="22"/>
          <w:szCs w:val="22"/>
          <w:lang w:val="en-GB"/>
        </w:rPr>
        <w:t xml:space="preserve">Subcontracting is allowed. </w:t>
      </w:r>
    </w:p>
    <w:p w:rsidR="00B24E1F" w:rsidRPr="00D1515C" w:rsidRDefault="00BD63A4" w:rsidP="00952E5C">
      <w:pPr>
        <w:pStyle w:val="PRAGHeading2"/>
        <w:keepNext/>
        <w:keepLines/>
        <w:numPr>
          <w:ilvl w:val="0"/>
          <w:numId w:val="0"/>
        </w:numPr>
        <w:spacing w:before="120" w:after="120"/>
        <w:jc w:val="both"/>
        <w:rPr>
          <w:rStyle w:val="a6"/>
          <w:sz w:val="22"/>
          <w:szCs w:val="22"/>
          <w:lang w:val="en-GB"/>
        </w:rPr>
      </w:pPr>
      <w:r w:rsidRPr="00D1515C">
        <w:rPr>
          <w:sz w:val="22"/>
          <w:szCs w:val="22"/>
          <w:lang w:val="en-GB"/>
        </w:rPr>
        <w:t>Subcontractors</w:t>
      </w:r>
      <w:r w:rsidR="00072A47" w:rsidRPr="00D1515C">
        <w:rPr>
          <w:sz w:val="22"/>
          <w:szCs w:val="22"/>
          <w:lang w:val="en-GB"/>
        </w:rPr>
        <w:t>, s</w:t>
      </w:r>
      <w:r w:rsidRPr="00D1515C">
        <w:rPr>
          <w:sz w:val="22"/>
          <w:szCs w:val="22"/>
          <w:lang w:val="en-GB"/>
        </w:rPr>
        <w:t xml:space="preserve">uppliers </w:t>
      </w:r>
      <w:r w:rsidR="00072A47" w:rsidRPr="00D1515C">
        <w:rPr>
          <w:sz w:val="22"/>
          <w:szCs w:val="22"/>
          <w:lang w:val="en-GB"/>
        </w:rPr>
        <w:t xml:space="preserve">and entities upon whose capacity the tenderer relies for the selection criteria, </w:t>
      </w:r>
      <w:r w:rsidRPr="00D1515C">
        <w:rPr>
          <w:sz w:val="22"/>
          <w:szCs w:val="22"/>
          <w:lang w:val="en-GB"/>
        </w:rPr>
        <w:t xml:space="preserve">must be eligible in respect of the rules on nationality and origin for the financing programme detailed in Section </w:t>
      </w:r>
      <w:r w:rsidR="00AD0BF2" w:rsidRPr="00D1515C">
        <w:rPr>
          <w:sz w:val="22"/>
          <w:szCs w:val="22"/>
          <w:lang w:val="en-GB"/>
        </w:rPr>
        <w:t>10</w:t>
      </w:r>
      <w:r w:rsidRPr="00D1515C">
        <w:rPr>
          <w:sz w:val="22"/>
          <w:szCs w:val="22"/>
          <w:lang w:val="en-GB"/>
        </w:rPr>
        <w:t xml:space="preserve"> above.</w:t>
      </w:r>
    </w:p>
    <w:p w:rsidR="00B24E1F" w:rsidRPr="00DD2F41" w:rsidRDefault="00B24E1F" w:rsidP="00952E5C">
      <w:pPr>
        <w:pStyle w:val="PRAGHeading2"/>
        <w:spacing w:before="120" w:after="120"/>
        <w:jc w:val="both"/>
        <w:rPr>
          <w:rStyle w:val="a6"/>
          <w:sz w:val="22"/>
          <w:szCs w:val="22"/>
          <w:lang w:val="en-GB"/>
        </w:rPr>
      </w:pPr>
      <w:r w:rsidRPr="00B24E1F">
        <w:rPr>
          <w:rStyle w:val="a6"/>
          <w:sz w:val="22"/>
          <w:szCs w:val="22"/>
          <w:lang w:val="en-GB"/>
        </w:rPr>
        <w:t>Grounds for exclusion</w:t>
      </w:r>
    </w:p>
    <w:p w:rsidR="003720EC" w:rsidRPr="00D1515C" w:rsidRDefault="003720EC" w:rsidP="00952E5C">
      <w:pPr>
        <w:keepNext/>
        <w:keepLines/>
        <w:spacing w:before="120" w:after="120"/>
        <w:jc w:val="both"/>
        <w:rPr>
          <w:sz w:val="22"/>
          <w:szCs w:val="22"/>
          <w:lang w:val="en-GB"/>
        </w:rPr>
      </w:pPr>
      <w:r w:rsidRPr="00D1515C">
        <w:rPr>
          <w:sz w:val="22"/>
          <w:szCs w:val="22"/>
          <w:lang w:val="en-GB"/>
        </w:rPr>
        <w:t xml:space="preserve">Natural persons, companies or undertakings falling into a situation set out in </w:t>
      </w:r>
      <w:r w:rsidR="00921394" w:rsidRPr="00D1515C">
        <w:rPr>
          <w:sz w:val="22"/>
          <w:szCs w:val="22"/>
          <w:lang w:val="en-GB"/>
        </w:rPr>
        <w:t>S</w:t>
      </w:r>
      <w:r w:rsidRPr="00D1515C">
        <w:rPr>
          <w:sz w:val="22"/>
          <w:szCs w:val="22"/>
          <w:lang w:val="en-GB"/>
        </w:rPr>
        <w:t xml:space="preserve">ection </w:t>
      </w:r>
      <w:r w:rsidR="00725D52" w:rsidRPr="00D1515C">
        <w:rPr>
          <w:sz w:val="22"/>
          <w:szCs w:val="22"/>
          <w:lang w:val="en-GB"/>
        </w:rPr>
        <w:t>2.6.10.1.1.</w:t>
      </w:r>
      <w:r w:rsidRPr="00D1515C">
        <w:rPr>
          <w:sz w:val="22"/>
          <w:szCs w:val="22"/>
          <w:lang w:val="en-GB"/>
        </w:rPr>
        <w:t xml:space="preserve"> (</w:t>
      </w:r>
      <w:r w:rsidR="00725D52" w:rsidRPr="00D1515C">
        <w:rPr>
          <w:sz w:val="22"/>
          <w:szCs w:val="22"/>
          <w:lang w:val="en-GB"/>
        </w:rPr>
        <w:t>‘</w:t>
      </w:r>
      <w:r w:rsidRPr="00D1515C">
        <w:rPr>
          <w:sz w:val="22"/>
          <w:szCs w:val="22"/>
          <w:lang w:val="en-GB"/>
        </w:rPr>
        <w:t>exclusion from participation in procurement procedures</w:t>
      </w:r>
      <w:r w:rsidR="00725D52" w:rsidRPr="00D1515C">
        <w:rPr>
          <w:sz w:val="22"/>
          <w:szCs w:val="22"/>
          <w:lang w:val="en-GB"/>
        </w:rPr>
        <w:t>’</w:t>
      </w:r>
      <w:r w:rsidRPr="00D1515C">
        <w:rPr>
          <w:sz w:val="22"/>
          <w:szCs w:val="22"/>
          <w:lang w:val="en-GB"/>
        </w:rPr>
        <w:t xml:space="preserve">) and </w:t>
      </w:r>
      <w:r w:rsidR="00921394" w:rsidRPr="00D1515C">
        <w:rPr>
          <w:sz w:val="22"/>
          <w:szCs w:val="22"/>
          <w:lang w:val="en-GB"/>
        </w:rPr>
        <w:t>S</w:t>
      </w:r>
      <w:r w:rsidRPr="00D1515C">
        <w:rPr>
          <w:sz w:val="22"/>
          <w:szCs w:val="22"/>
          <w:lang w:val="en-GB"/>
        </w:rPr>
        <w:t xml:space="preserve">ection </w:t>
      </w:r>
      <w:r w:rsidR="00725D52" w:rsidRPr="00D1515C">
        <w:rPr>
          <w:sz w:val="22"/>
          <w:szCs w:val="22"/>
          <w:lang w:val="en-GB"/>
        </w:rPr>
        <w:t>2.6.10.1.2.</w:t>
      </w:r>
      <w:r w:rsidRPr="00D1515C">
        <w:rPr>
          <w:sz w:val="22"/>
          <w:szCs w:val="22"/>
          <w:lang w:val="en-GB"/>
        </w:rPr>
        <w:t xml:space="preserve"> (</w:t>
      </w:r>
      <w:r w:rsidR="00725D52" w:rsidRPr="00D1515C">
        <w:rPr>
          <w:sz w:val="22"/>
          <w:szCs w:val="22"/>
          <w:lang w:val="en-GB"/>
        </w:rPr>
        <w:t>‘</w:t>
      </w:r>
      <w:r w:rsidRPr="00D1515C">
        <w:rPr>
          <w:sz w:val="22"/>
          <w:szCs w:val="22"/>
          <w:lang w:val="en-GB"/>
        </w:rPr>
        <w:t>rejection from a given procedure</w:t>
      </w:r>
      <w:r w:rsidR="00725D52" w:rsidRPr="00D1515C">
        <w:rPr>
          <w:sz w:val="22"/>
          <w:szCs w:val="22"/>
          <w:lang w:val="en-GB"/>
        </w:rPr>
        <w:t>’</w:t>
      </w:r>
      <w:r w:rsidRPr="00D1515C">
        <w:rPr>
          <w:sz w:val="22"/>
          <w:szCs w:val="22"/>
          <w:lang w:val="en-GB"/>
        </w:rPr>
        <w:t xml:space="preserve">) of the </w:t>
      </w:r>
      <w:r w:rsidR="00725D52" w:rsidRPr="00D1515C">
        <w:rPr>
          <w:sz w:val="22"/>
          <w:szCs w:val="22"/>
          <w:lang w:val="en-GB"/>
        </w:rPr>
        <w:t>p</w:t>
      </w:r>
      <w:r w:rsidRPr="00D1515C">
        <w:rPr>
          <w:sz w:val="22"/>
          <w:szCs w:val="22"/>
          <w:lang w:val="en-GB"/>
        </w:rPr>
        <w:t>ractical</w:t>
      </w:r>
      <w:r w:rsidR="00985F8D" w:rsidRPr="00D1515C">
        <w:rPr>
          <w:sz w:val="22"/>
          <w:szCs w:val="22"/>
          <w:lang w:val="en-GB"/>
        </w:rPr>
        <w:t xml:space="preserve"> </w:t>
      </w:r>
      <w:r w:rsidR="00725D52" w:rsidRPr="00D1515C">
        <w:rPr>
          <w:sz w:val="22"/>
          <w:szCs w:val="22"/>
          <w:lang w:val="en-GB"/>
        </w:rPr>
        <w:t>g</w:t>
      </w:r>
      <w:r w:rsidRPr="00D1515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sidRPr="00D1515C">
        <w:rPr>
          <w:sz w:val="22"/>
          <w:szCs w:val="22"/>
          <w:lang w:val="en-GB"/>
        </w:rPr>
        <w:t>S</w:t>
      </w:r>
      <w:r w:rsidRPr="00D1515C">
        <w:rPr>
          <w:sz w:val="22"/>
          <w:szCs w:val="22"/>
          <w:lang w:val="en-GB"/>
        </w:rPr>
        <w:t xml:space="preserve">ection </w:t>
      </w:r>
      <w:r w:rsidR="00725D52" w:rsidRPr="00D1515C">
        <w:rPr>
          <w:sz w:val="22"/>
          <w:szCs w:val="22"/>
          <w:lang w:val="en-GB"/>
        </w:rPr>
        <w:t>2.6.10.1.</w:t>
      </w:r>
      <w:r w:rsidRPr="00D1515C">
        <w:rPr>
          <w:sz w:val="22"/>
          <w:szCs w:val="22"/>
          <w:lang w:val="en-GB"/>
        </w:rPr>
        <w:t xml:space="preserve"> of the </w:t>
      </w:r>
      <w:r w:rsidR="00725D52" w:rsidRPr="00D1515C">
        <w:rPr>
          <w:sz w:val="22"/>
          <w:szCs w:val="22"/>
          <w:lang w:val="en-GB"/>
        </w:rPr>
        <w:t>p</w:t>
      </w:r>
      <w:r w:rsidRPr="00D1515C">
        <w:rPr>
          <w:sz w:val="22"/>
          <w:szCs w:val="22"/>
          <w:lang w:val="en-GB"/>
        </w:rPr>
        <w:t xml:space="preserve">ractical </w:t>
      </w:r>
      <w:r w:rsidR="00725D52" w:rsidRPr="00D1515C">
        <w:rPr>
          <w:sz w:val="22"/>
          <w:szCs w:val="22"/>
          <w:lang w:val="en-GB"/>
        </w:rPr>
        <w:t>g</w:t>
      </w:r>
      <w:r w:rsidRPr="00D1515C">
        <w:rPr>
          <w:sz w:val="22"/>
          <w:szCs w:val="22"/>
          <w:lang w:val="en-GB"/>
        </w:rPr>
        <w:t>uide. The declarations must cover all the members of a joint venture/consortium. Tenderers guilty of making false declarations may also incur financial penalties</w:t>
      </w:r>
      <w:r w:rsidR="0040130C" w:rsidRPr="00D1515C">
        <w:rPr>
          <w:sz w:val="22"/>
          <w:szCs w:val="22"/>
          <w:lang w:val="en-GB"/>
        </w:rPr>
        <w:t xml:space="preserve"> up to 10% of the value of the contract</w:t>
      </w:r>
      <w:r w:rsidRPr="00D1515C">
        <w:rPr>
          <w:sz w:val="22"/>
          <w:szCs w:val="22"/>
          <w:lang w:val="en-GB"/>
        </w:rPr>
        <w:t xml:space="preserve"> and exclusion in accordance with </w:t>
      </w:r>
      <w:r w:rsidR="0040130C" w:rsidRPr="00D1515C">
        <w:rPr>
          <w:sz w:val="22"/>
          <w:szCs w:val="22"/>
          <w:lang w:val="en-GB"/>
        </w:rPr>
        <w:t>the Financial Regulation in force</w:t>
      </w:r>
      <w:r w:rsidRPr="00D1515C">
        <w:rPr>
          <w:sz w:val="22"/>
          <w:szCs w:val="22"/>
          <w:lang w:val="en-GB"/>
        </w:rPr>
        <w:t>.</w:t>
      </w:r>
    </w:p>
    <w:p w:rsidR="003720EC" w:rsidRPr="00D1515C" w:rsidRDefault="003720EC" w:rsidP="00952E5C">
      <w:pPr>
        <w:keepNext/>
        <w:keepLines/>
        <w:spacing w:before="120" w:after="120"/>
        <w:jc w:val="both"/>
        <w:rPr>
          <w:sz w:val="22"/>
          <w:szCs w:val="22"/>
          <w:lang w:val="en-GB"/>
        </w:rPr>
      </w:pPr>
      <w:r w:rsidRPr="00D1515C">
        <w:rPr>
          <w:sz w:val="22"/>
          <w:szCs w:val="22"/>
          <w:lang w:val="en-GB"/>
        </w:rPr>
        <w:t>Those exclusion situations apply to all members of a joint venture/consortium, all subcontractors and all suppliers to tenderers, as well as to all entities upon whose capacity the tenderer relies for the selection criteria.</w:t>
      </w:r>
    </w:p>
    <w:p w:rsidR="00631F1A" w:rsidRPr="00D1515C" w:rsidRDefault="002B6113" w:rsidP="00952E5C">
      <w:pPr>
        <w:keepNext/>
        <w:keepLines/>
        <w:spacing w:before="120" w:after="120"/>
        <w:jc w:val="both"/>
        <w:rPr>
          <w:sz w:val="22"/>
          <w:szCs w:val="22"/>
          <w:lang w:val="en-GB"/>
        </w:rPr>
      </w:pPr>
      <w:r w:rsidRPr="00D1515C">
        <w:rPr>
          <w:sz w:val="22"/>
          <w:szCs w:val="22"/>
          <w:lang w:val="en-GB"/>
        </w:rPr>
        <w:t>Tenderers</w:t>
      </w:r>
      <w:r w:rsidR="00631F1A" w:rsidRPr="00D1515C">
        <w:rPr>
          <w:sz w:val="22"/>
          <w:szCs w:val="22"/>
          <w:lang w:val="en-GB"/>
        </w:rPr>
        <w:t xml:space="preserve"> included in the lists of EU restrictive measures (see Section </w:t>
      </w:r>
      <w:r w:rsidR="00725D52" w:rsidRPr="00D1515C">
        <w:rPr>
          <w:sz w:val="22"/>
          <w:szCs w:val="22"/>
          <w:lang w:val="en-GB"/>
        </w:rPr>
        <w:t>2.4.</w:t>
      </w:r>
      <w:r w:rsidR="00631F1A" w:rsidRPr="00D1515C">
        <w:rPr>
          <w:sz w:val="22"/>
          <w:szCs w:val="22"/>
          <w:lang w:val="en-GB"/>
        </w:rPr>
        <w:t xml:space="preserve"> of the PRAG) at the moment of the award decision cannot be awarded the contract</w:t>
      </w:r>
      <w:r w:rsidRPr="00D1515C">
        <w:rPr>
          <w:sz w:val="22"/>
          <w:szCs w:val="22"/>
          <w:lang w:val="en-GB"/>
        </w:rPr>
        <w:t>.</w:t>
      </w:r>
    </w:p>
    <w:p w:rsidR="002139C6" w:rsidRPr="00DD2F41" w:rsidRDefault="002139C6" w:rsidP="00952E5C">
      <w:pPr>
        <w:pStyle w:val="PRAGHeading2"/>
        <w:spacing w:before="120" w:after="120"/>
        <w:jc w:val="both"/>
        <w:rPr>
          <w:rStyle w:val="a6"/>
          <w:sz w:val="22"/>
          <w:szCs w:val="22"/>
          <w:lang w:val="en-GB"/>
        </w:rPr>
      </w:pPr>
      <w:r w:rsidRPr="00DD2F41">
        <w:rPr>
          <w:rStyle w:val="a6"/>
          <w:sz w:val="22"/>
          <w:szCs w:val="22"/>
          <w:lang w:val="en-GB"/>
        </w:rPr>
        <w:t>Number of tenders</w:t>
      </w:r>
    </w:p>
    <w:p w:rsidR="00EE2A34" w:rsidRPr="00A717AA" w:rsidRDefault="002139C6" w:rsidP="00952E5C">
      <w:pPr>
        <w:spacing w:before="120" w:after="120"/>
        <w:jc w:val="both"/>
        <w:rPr>
          <w:color w:val="FF0000"/>
          <w:sz w:val="22"/>
          <w:szCs w:val="22"/>
          <w:lang w:val="en-GB"/>
        </w:rPr>
      </w:pPr>
      <w:r w:rsidRPr="00D1515C">
        <w:rPr>
          <w:sz w:val="22"/>
          <w:szCs w:val="22"/>
          <w:lang w:val="en-GB"/>
        </w:rPr>
        <w:t xml:space="preserve">Tenderers may submit </w:t>
      </w:r>
      <w:r w:rsidR="00AA4373" w:rsidRPr="00D1515C">
        <w:rPr>
          <w:sz w:val="22"/>
          <w:szCs w:val="22"/>
          <w:lang w:val="en-GB"/>
        </w:rPr>
        <w:t>only one tender</w:t>
      </w:r>
      <w:r w:rsidRPr="00D1515C">
        <w:rPr>
          <w:sz w:val="22"/>
          <w:szCs w:val="22"/>
          <w:lang w:val="en-GB"/>
        </w:rPr>
        <w:t xml:space="preserve">. Tenders for parts of </w:t>
      </w:r>
      <w:r w:rsidR="00721E98" w:rsidRPr="00D1515C">
        <w:rPr>
          <w:sz w:val="22"/>
          <w:szCs w:val="22"/>
          <w:lang w:val="en-GB"/>
        </w:rPr>
        <w:t>the</w:t>
      </w:r>
      <w:r w:rsidRPr="00D1515C">
        <w:rPr>
          <w:sz w:val="22"/>
          <w:szCs w:val="22"/>
          <w:lang w:val="en-GB"/>
        </w:rPr>
        <w:t xml:space="preserve"> </w:t>
      </w:r>
      <w:r w:rsidR="00721E98" w:rsidRPr="00D1515C">
        <w:rPr>
          <w:sz w:val="22"/>
          <w:szCs w:val="22"/>
          <w:lang w:val="en-GB"/>
        </w:rPr>
        <w:t>works</w:t>
      </w:r>
      <w:r w:rsidRPr="00D1515C">
        <w:rPr>
          <w:sz w:val="22"/>
          <w:szCs w:val="22"/>
          <w:lang w:val="en-GB"/>
        </w:rPr>
        <w:t xml:space="preserve"> will not be considered. Tenderers may not</w:t>
      </w:r>
      <w:r w:rsidR="002E09EF" w:rsidRPr="00D1515C">
        <w:rPr>
          <w:sz w:val="22"/>
          <w:szCs w:val="22"/>
          <w:lang w:val="en-GB"/>
        </w:rPr>
        <w:t xml:space="preserve"> </w:t>
      </w:r>
      <w:r w:rsidRPr="00D1515C">
        <w:rPr>
          <w:sz w:val="22"/>
          <w:szCs w:val="22"/>
          <w:lang w:val="en-GB"/>
        </w:rPr>
        <w:t>submit a tender for a variant solution in addition to their tender for the works required in the tender dossier</w:t>
      </w:r>
      <w:r w:rsidRPr="00A717AA">
        <w:rPr>
          <w:color w:val="FF0000"/>
          <w:sz w:val="22"/>
          <w:szCs w:val="22"/>
          <w:lang w:val="en-GB"/>
        </w:rPr>
        <w:t>.</w:t>
      </w:r>
    </w:p>
    <w:p w:rsidR="002139C6" w:rsidRPr="00DD2F41" w:rsidRDefault="00752197" w:rsidP="00952E5C">
      <w:pPr>
        <w:keepNext/>
        <w:keepLines/>
        <w:spacing w:before="120" w:after="120"/>
        <w:jc w:val="both"/>
        <w:rPr>
          <w:sz w:val="22"/>
          <w:szCs w:val="22"/>
          <w:lang w:val="en-GB"/>
        </w:rPr>
      </w:pPr>
      <w:r w:rsidRPr="00752197">
        <w:rPr>
          <w:snapToGrid/>
          <w:sz w:val="22"/>
          <w:szCs w:val="22"/>
          <w:lang w:val="en-GB"/>
        </w:rPr>
        <w:pict>
          <v:line id="_x0000_s1026" style="position:absolute;left:0;text-align:left;z-index:1" from="0,12pt" to="468pt,12.05pt" o:allowincell="f" strokecolor="#d4d4d4" strokeweight="1.75pt">
            <v:shadow on="t" origin=",32385f" offset="0,-1pt"/>
          </v:line>
        </w:pict>
      </w:r>
    </w:p>
    <w:p w:rsidR="002139C6" w:rsidRPr="00DD2F41" w:rsidRDefault="002139C6" w:rsidP="0076200F">
      <w:pPr>
        <w:keepNext/>
        <w:keepLines/>
        <w:ind w:left="360"/>
        <w:jc w:val="both"/>
        <w:rPr>
          <w:rStyle w:val="a6"/>
          <w:sz w:val="22"/>
          <w:szCs w:val="22"/>
          <w:lang w:val="en-GB"/>
        </w:rPr>
      </w:pPr>
      <w:r w:rsidRPr="00DD2F41">
        <w:rPr>
          <w:rStyle w:val="a6"/>
          <w:sz w:val="22"/>
          <w:szCs w:val="22"/>
          <w:lang w:val="en-GB"/>
        </w:rPr>
        <w:t>SELECTION AND AWARD CRITERIA</w:t>
      </w:r>
    </w:p>
    <w:p w:rsidR="00E17B77" w:rsidRPr="00DD2F41" w:rsidRDefault="002139C6" w:rsidP="0076200F">
      <w:pPr>
        <w:pStyle w:val="PRAGHeading2"/>
        <w:jc w:val="both"/>
        <w:rPr>
          <w:rStyle w:val="a6"/>
          <w:sz w:val="22"/>
          <w:szCs w:val="22"/>
          <w:lang w:val="en-GB"/>
        </w:rPr>
      </w:pPr>
      <w:r w:rsidRPr="00DD2F41">
        <w:rPr>
          <w:rStyle w:val="a6"/>
          <w:sz w:val="22"/>
          <w:szCs w:val="22"/>
          <w:lang w:val="en-GB"/>
        </w:rPr>
        <w:t>Selection criteria</w:t>
      </w:r>
    </w:p>
    <w:p w:rsidR="002B0469" w:rsidRPr="00FE6C13" w:rsidRDefault="002B0469" w:rsidP="00A717AA">
      <w:pPr>
        <w:pStyle w:val="3"/>
        <w:numPr>
          <w:ilvl w:val="0"/>
          <w:numId w:val="0"/>
        </w:numPr>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rsidR="002B0469" w:rsidRPr="00FE6C13" w:rsidRDefault="002B0469" w:rsidP="00A717AA">
      <w:pPr>
        <w:jc w:val="both"/>
        <w:rPr>
          <w:sz w:val="22"/>
          <w:lang w:val="en-GB"/>
        </w:rPr>
      </w:pPr>
      <w:r w:rsidRPr="00FE6C13">
        <w:rPr>
          <w:sz w:val="22"/>
          <w:lang w:val="en-GB"/>
        </w:rPr>
        <w:lastRenderedPageBreak/>
        <w:t>The selection criteria for each tenderer are as follows:</w:t>
      </w:r>
    </w:p>
    <w:p w:rsidR="002B0469" w:rsidRPr="00D1515C" w:rsidRDefault="001408AF" w:rsidP="00A717AA">
      <w:pPr>
        <w:jc w:val="both"/>
        <w:rPr>
          <w:b/>
          <w:i/>
          <w:sz w:val="22"/>
          <w:u w:val="single"/>
          <w:lang w:val="bg-BG"/>
        </w:rPr>
      </w:pPr>
      <w:r w:rsidRPr="00D1515C">
        <w:rPr>
          <w:b/>
          <w:i/>
          <w:sz w:val="22"/>
          <w:lang w:val="en-GB"/>
        </w:rPr>
        <w:t>14.a</w:t>
      </w:r>
      <w:r w:rsidRPr="00D1515C">
        <w:rPr>
          <w:b/>
          <w:i/>
          <w:sz w:val="22"/>
          <w:lang w:val="en-GB"/>
        </w:rPr>
        <w:tab/>
      </w:r>
      <w:r w:rsidR="002B0469" w:rsidRPr="00D1515C">
        <w:rPr>
          <w:b/>
          <w:i/>
          <w:sz w:val="22"/>
          <w:u w:val="single"/>
          <w:lang w:val="en-GB"/>
        </w:rPr>
        <w:t>Economic and financial capacity of candidate:</w:t>
      </w:r>
    </w:p>
    <w:p w:rsidR="00A30F1A" w:rsidRPr="00D1515C" w:rsidRDefault="00A30F1A" w:rsidP="00A30F1A">
      <w:pPr>
        <w:jc w:val="both"/>
        <w:rPr>
          <w:sz w:val="22"/>
          <w:lang w:val="en-GB"/>
        </w:rPr>
      </w:pPr>
      <w:r w:rsidRPr="00D1515C">
        <w:rPr>
          <w:sz w:val="22"/>
          <w:lang w:val="en-GB"/>
        </w:rPr>
        <w:t>The candidate (consortium as a whole or sole tenderer) must fulfil the following selection criteria regarding their economic and financial capacity:</w:t>
      </w:r>
    </w:p>
    <w:p w:rsidR="00A30F1A" w:rsidRPr="00D1515C" w:rsidRDefault="00A30F1A" w:rsidP="00A30F1A">
      <w:pPr>
        <w:jc w:val="both"/>
        <w:rPr>
          <w:sz w:val="22"/>
          <w:szCs w:val="22"/>
        </w:rPr>
      </w:pPr>
      <w:r w:rsidRPr="00D1515C">
        <w:rPr>
          <w:sz w:val="22"/>
          <w:szCs w:val="22"/>
        </w:rPr>
        <w:t>The average annula</w:t>
      </w:r>
      <w:r w:rsidRPr="00D1515C">
        <w:rPr>
          <w:sz w:val="22"/>
          <w:szCs w:val="22"/>
          <w:lang w:val="bg-BG"/>
        </w:rPr>
        <w:t xml:space="preserve"> </w:t>
      </w:r>
      <w:r w:rsidRPr="00D1515C">
        <w:rPr>
          <w:sz w:val="22"/>
          <w:szCs w:val="22"/>
          <w:lang w:val="en-US"/>
        </w:rPr>
        <w:t>total</w:t>
      </w:r>
      <w:r w:rsidRPr="00D1515C">
        <w:rPr>
          <w:sz w:val="22"/>
          <w:szCs w:val="22"/>
        </w:rPr>
        <w:t xml:space="preserve"> turnover of the tenderer in the past 3 years for which acounts have been closed or for the period less than 3 years for which accounts have been closed(depending on the date on which the participant is registered or started activity) must be at least </w:t>
      </w:r>
      <w:r w:rsidR="00D1515C" w:rsidRPr="00D1515C">
        <w:rPr>
          <w:sz w:val="22"/>
          <w:szCs w:val="22"/>
          <w:lang w:val="bg-BG"/>
        </w:rPr>
        <w:t>3</w:t>
      </w:r>
      <w:r w:rsidR="00D1515C" w:rsidRPr="00D1515C">
        <w:rPr>
          <w:sz w:val="22"/>
          <w:szCs w:val="22"/>
          <w:lang w:val="en-US"/>
        </w:rPr>
        <w:t>0</w:t>
      </w:r>
      <w:r w:rsidRPr="00D1515C">
        <w:rPr>
          <w:sz w:val="22"/>
          <w:szCs w:val="22"/>
          <w:lang w:val="bg-BG"/>
        </w:rPr>
        <w:t>0 000</w:t>
      </w:r>
      <w:r w:rsidRPr="00D1515C">
        <w:rPr>
          <w:sz w:val="22"/>
          <w:szCs w:val="22"/>
        </w:rPr>
        <w:t xml:space="preserve">.00 EUR or </w:t>
      </w:r>
      <w:r w:rsidR="00D1515C" w:rsidRPr="00D1515C">
        <w:rPr>
          <w:sz w:val="22"/>
          <w:szCs w:val="22"/>
          <w:lang w:val="en-US"/>
        </w:rPr>
        <w:t>586 740.00</w:t>
      </w:r>
      <w:r w:rsidRPr="00D1515C">
        <w:rPr>
          <w:sz w:val="22"/>
          <w:szCs w:val="22"/>
        </w:rPr>
        <w:t xml:space="preserve">  BGN.</w:t>
      </w:r>
    </w:p>
    <w:p w:rsidR="00A30F1A" w:rsidRPr="00D1515C" w:rsidRDefault="00A30F1A" w:rsidP="00A30F1A">
      <w:pPr>
        <w:jc w:val="both"/>
        <w:rPr>
          <w:sz w:val="22"/>
          <w:szCs w:val="22"/>
        </w:rPr>
      </w:pPr>
      <w:r w:rsidRPr="00D1515C">
        <w:rPr>
          <w:sz w:val="22"/>
          <w:lang w:val="en-GB"/>
        </w:rPr>
        <w:t xml:space="preserve">The candidate must establish compliance with the above criterion by completing and presenting Form 4.4 </w:t>
      </w:r>
      <w:r w:rsidRPr="00D1515C">
        <w:rPr>
          <w:i/>
          <w:sz w:val="22"/>
          <w:lang w:val="en-GB"/>
        </w:rPr>
        <w:t>“Financial Statement”</w:t>
      </w:r>
      <w:r w:rsidRPr="00D1515C">
        <w:rPr>
          <w:sz w:val="22"/>
          <w:lang w:val="en-GB"/>
        </w:rPr>
        <w:t xml:space="preserve"> (Volume 1, Section </w:t>
      </w:r>
      <w:r w:rsidRPr="00D1515C">
        <w:rPr>
          <w:sz w:val="22"/>
          <w:lang w:val="en-US"/>
        </w:rPr>
        <w:t>III</w:t>
      </w:r>
      <w:r w:rsidRPr="00D1515C">
        <w:rPr>
          <w:sz w:val="22"/>
          <w:lang w:val="en-GB"/>
        </w:rPr>
        <w:t xml:space="preserve"> </w:t>
      </w:r>
      <w:r w:rsidRPr="00D1515C">
        <w:rPr>
          <w:i/>
          <w:sz w:val="22"/>
          <w:lang w:val="en-GB"/>
        </w:rPr>
        <w:t>“Forms regarding financial criteria”</w:t>
      </w:r>
      <w:r w:rsidRPr="00D1515C">
        <w:rPr>
          <w:sz w:val="22"/>
          <w:lang w:val="en-GB"/>
        </w:rPr>
        <w:t xml:space="preserve"> of the Tender Dossier).</w:t>
      </w:r>
    </w:p>
    <w:p w:rsidR="00A30F1A" w:rsidRPr="00D1515C" w:rsidRDefault="00A30F1A" w:rsidP="00A30F1A">
      <w:pPr>
        <w:jc w:val="both"/>
        <w:rPr>
          <w:snapToGrid/>
          <w:sz w:val="22"/>
          <w:szCs w:val="22"/>
          <w:lang w:val="en-GB" w:eastAsia="bg-BG"/>
        </w:rPr>
      </w:pPr>
      <w:r w:rsidRPr="00D1515C">
        <w:rPr>
          <w:snapToGrid/>
          <w:sz w:val="22"/>
          <w:szCs w:val="22"/>
          <w:lang w:val="en-GB" w:eastAsia="bg-BG"/>
        </w:rPr>
        <w:t>The documents with which the economic and financial capacity of the tenderer under point 14a.1. is proved are:</w:t>
      </w:r>
    </w:p>
    <w:p w:rsidR="00A30F1A" w:rsidRPr="00D1515C" w:rsidRDefault="00A30F1A" w:rsidP="00A30F1A">
      <w:pPr>
        <w:jc w:val="both"/>
        <w:rPr>
          <w:snapToGrid/>
          <w:sz w:val="22"/>
          <w:szCs w:val="22"/>
          <w:lang w:val="en-GB" w:eastAsia="bg-BG"/>
        </w:rPr>
      </w:pPr>
      <w:r w:rsidRPr="00D1515C">
        <w:rPr>
          <w:snapToGrid/>
          <w:sz w:val="22"/>
          <w:szCs w:val="22"/>
          <w:lang w:val="en-GB" w:eastAsia="bg-BG"/>
        </w:rPr>
        <w:t xml:space="preserve"> Balance sheets or extracts from balance sheets or any other equivalent documents, depending on the national legislation of the state of registration of the tenderer, for a period equal to or less than the last three years for which accounts have been closed.</w:t>
      </w:r>
    </w:p>
    <w:p w:rsidR="00A30F1A" w:rsidRPr="00D1515C" w:rsidRDefault="00A30F1A" w:rsidP="00A30F1A">
      <w:pPr>
        <w:widowControl/>
        <w:autoSpaceDE w:val="0"/>
        <w:autoSpaceDN w:val="0"/>
        <w:adjustRightInd w:val="0"/>
        <w:spacing w:before="0" w:after="0"/>
        <w:jc w:val="both"/>
        <w:rPr>
          <w:sz w:val="22"/>
          <w:szCs w:val="22"/>
        </w:rPr>
      </w:pPr>
      <w:r w:rsidRPr="00D1515C">
        <w:rPr>
          <w:sz w:val="22"/>
          <w:szCs w:val="22"/>
        </w:rPr>
        <w:t>If a tender is submitted by a consortium the selection criteria of point 14.a. for economic and financial capacity</w:t>
      </w:r>
      <w:r w:rsidRPr="00D1515C">
        <w:rPr>
          <w:b/>
          <w:i/>
          <w:sz w:val="22"/>
          <w:szCs w:val="22"/>
        </w:rPr>
        <w:t xml:space="preserve"> </w:t>
      </w:r>
      <w:r w:rsidRPr="00D1515C">
        <w:rPr>
          <w:sz w:val="22"/>
          <w:szCs w:val="22"/>
        </w:rPr>
        <w:t>will be applied to the consortium as a whole.</w:t>
      </w:r>
    </w:p>
    <w:p w:rsidR="00A30F1A" w:rsidRPr="00A30F1A" w:rsidRDefault="00A30F1A" w:rsidP="00A30F1A">
      <w:pPr>
        <w:widowControl/>
        <w:autoSpaceDE w:val="0"/>
        <w:autoSpaceDN w:val="0"/>
        <w:adjustRightInd w:val="0"/>
        <w:spacing w:before="0" w:after="0"/>
        <w:jc w:val="both"/>
        <w:rPr>
          <w:color w:val="FF0000"/>
          <w:sz w:val="22"/>
          <w:szCs w:val="22"/>
        </w:rPr>
      </w:pPr>
    </w:p>
    <w:p w:rsidR="002B0469" w:rsidRPr="001408AF" w:rsidRDefault="001408AF" w:rsidP="00D1417F">
      <w:pPr>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rsidR="00D1417F" w:rsidRPr="00D1515C" w:rsidRDefault="00D1417F" w:rsidP="00D1417F">
      <w:pPr>
        <w:jc w:val="both"/>
        <w:rPr>
          <w:sz w:val="22"/>
          <w:lang w:val="bg-BG"/>
        </w:rPr>
      </w:pPr>
      <w:r w:rsidRPr="00D1515C">
        <w:rPr>
          <w:b/>
          <w:sz w:val="22"/>
          <w:lang w:val="en-GB"/>
        </w:rPr>
        <w:t>1</w:t>
      </w:r>
      <w:r w:rsidRPr="00D1515C">
        <w:rPr>
          <w:sz w:val="22"/>
          <w:lang w:val="en-GB"/>
        </w:rPr>
        <w:t xml:space="preserve"> .Must have completed at least one project of similar nature and complexity in the last 5 years prior to the publication of the present notice.</w:t>
      </w:r>
    </w:p>
    <w:p w:rsidR="00D1515C" w:rsidRDefault="00D1515C" w:rsidP="00D1417F">
      <w:pPr>
        <w:jc w:val="both"/>
        <w:rPr>
          <w:rStyle w:val="jlqj4b"/>
          <w:color w:val="FF0000"/>
          <w:szCs w:val="24"/>
        </w:rPr>
      </w:pPr>
      <w:r>
        <w:rPr>
          <w:rStyle w:val="jlqj4b"/>
        </w:rPr>
        <w:t>"Activity (construction) with a subject and volume similar to that of the contract" should be understood as: new construction and / or restoration and / or overhaul of street and / or park and / or regional and / or artistic lighting.</w:t>
      </w:r>
    </w:p>
    <w:p w:rsidR="00766DA7" w:rsidRPr="00952E5C" w:rsidRDefault="00766DA7" w:rsidP="00766DA7">
      <w:pPr>
        <w:jc w:val="both"/>
        <w:rPr>
          <w:sz w:val="22"/>
          <w:szCs w:val="22"/>
          <w:lang w:val="bg-BG"/>
        </w:rPr>
      </w:pPr>
      <w:r w:rsidRPr="00952E5C">
        <w:rPr>
          <w:sz w:val="22"/>
          <w:szCs w:val="22"/>
          <w:lang w:val="bg-BG"/>
        </w:rPr>
        <w:t>The documents with which compliance with the technical and professional capacity under point 14.b.1. is proved is:</w:t>
      </w:r>
    </w:p>
    <w:p w:rsidR="00766DA7" w:rsidRPr="00952E5C" w:rsidRDefault="00766DA7" w:rsidP="00766DA7">
      <w:pPr>
        <w:jc w:val="both"/>
        <w:rPr>
          <w:sz w:val="22"/>
          <w:szCs w:val="22"/>
          <w:lang w:val="bg-BG"/>
        </w:rPr>
      </w:pPr>
      <w:r w:rsidRPr="00952E5C">
        <w:rPr>
          <w:sz w:val="22"/>
          <w:szCs w:val="22"/>
          <w:lang w:val="bg-BG"/>
        </w:rPr>
        <w:t>-List of the most significant works, accompanied by certificates and/or references for satisfactory execution, issued by the contracting authority or entity who ordered or purchased the works, specifying whether they have been carried out successfully and in a professional manner.</w:t>
      </w:r>
    </w:p>
    <w:p w:rsidR="00766DA7" w:rsidRPr="00952E5C" w:rsidRDefault="00766DA7" w:rsidP="00766DA7">
      <w:pPr>
        <w:jc w:val="both"/>
        <w:rPr>
          <w:sz w:val="22"/>
          <w:szCs w:val="22"/>
          <w:lang w:val="bg-BG"/>
        </w:rPr>
      </w:pPr>
      <w:r w:rsidRPr="00952E5C">
        <w:rPr>
          <w:sz w:val="22"/>
          <w:szCs w:val="22"/>
          <w:lang w:val="bg-BG"/>
        </w:rPr>
        <w:t xml:space="preserve">The contracting authority reserves the right to ask for other additional documents/evidence, signed by the supervisors/contracting authority of the projects concerned. </w:t>
      </w:r>
    </w:p>
    <w:p w:rsidR="00D1417F" w:rsidRPr="00952E5C" w:rsidRDefault="00766DA7" w:rsidP="00766DA7">
      <w:pPr>
        <w:jc w:val="both"/>
        <w:rPr>
          <w:sz w:val="22"/>
          <w:szCs w:val="22"/>
          <w:lang w:val="bg-BG"/>
        </w:rPr>
      </w:pPr>
      <w:r w:rsidRPr="00952E5C">
        <w:rPr>
          <w:sz w:val="22"/>
          <w:szCs w:val="22"/>
          <w:lang w:val="bg-BG"/>
        </w:rPr>
        <w:t>If a tender is submitted by a consortium the selection criteria of point 14.b .(1). for technical capacity</w:t>
      </w:r>
      <w:r w:rsidRPr="00766DA7">
        <w:rPr>
          <w:szCs w:val="24"/>
          <w:lang w:val="bg-BG"/>
        </w:rPr>
        <w:t xml:space="preserve"> will be </w:t>
      </w:r>
      <w:r w:rsidRPr="00952E5C">
        <w:rPr>
          <w:sz w:val="22"/>
          <w:szCs w:val="22"/>
          <w:lang w:val="bg-BG"/>
        </w:rPr>
        <w:t>applied to the consortium as a whole.</w:t>
      </w:r>
    </w:p>
    <w:p w:rsidR="00766DA7" w:rsidRPr="00D1515C" w:rsidRDefault="00766DA7" w:rsidP="00766DA7">
      <w:pPr>
        <w:jc w:val="both"/>
        <w:rPr>
          <w:sz w:val="22"/>
          <w:szCs w:val="22"/>
          <w:lang w:val="bg-BG"/>
        </w:rPr>
      </w:pPr>
      <w:r w:rsidRPr="00D1515C">
        <w:rPr>
          <w:b/>
          <w:sz w:val="22"/>
          <w:szCs w:val="22"/>
          <w:lang w:val="bg-BG"/>
        </w:rPr>
        <w:t>2.</w:t>
      </w:r>
      <w:r w:rsidRPr="00D1515C">
        <w:rPr>
          <w:sz w:val="22"/>
          <w:szCs w:val="22"/>
          <w:lang w:val="bg-BG"/>
        </w:rPr>
        <w:t xml:space="preserve"> According to the Bulgarian Chamber of Builders Law entities executing construction in Bulgaria as per the Bulgarian Spatial Planning Law should be registered in the Central Register of Professional Builders. The registration is also obligatory for builders, which are entitled to perform such an activity under the legislation of </w:t>
      </w:r>
      <w:r w:rsidRPr="00D1515C">
        <w:rPr>
          <w:sz w:val="22"/>
          <w:szCs w:val="22"/>
          <w:lang w:val="bg-BG"/>
        </w:rPr>
        <w:lastRenderedPageBreak/>
        <w:t>a Member State of the Union or of another country - party to the Agreement on the European Economic Area or of the Swiss Confederation for registration. At the moment of provision of the tender offer tenderers are not obliged to prove that they meet this requirement. However, the chosen contractor, before signing the contract must provide evidence (via appropriate document and/or extraction from a public register) that it is registered in the Bulgarian Chamber of Builders for the execution of construction as per the Bulgarian Spatial Planning Law and in accordance with the Rules and Procedure for Recording and Keeping of the Central Register of Professional Builders. The construction activities represent separate type of construction works as per the National Classification of Economic Activity from 2008 (NCEA - 2008), Section F. In accordance to art. 6 of the Rules and Procedure for Recording and Keeping of the Central Register of Professional Builders “The builders who perform separate types of construction and installation works, presented in NCEA - 2008, position “Construction” and which are subject to entry in the register according to art. 3, para. 2 Law on Chamber of Builders, is entered in the register in an independent group with a subdivision corresponding to NCEA - 2008.”.</w:t>
      </w:r>
    </w:p>
    <w:p w:rsidR="00766DA7" w:rsidRPr="00D1515C" w:rsidRDefault="00766DA7" w:rsidP="00766DA7">
      <w:pPr>
        <w:jc w:val="both"/>
        <w:rPr>
          <w:szCs w:val="24"/>
          <w:lang w:val="bg-BG"/>
        </w:rPr>
      </w:pPr>
      <w:r w:rsidRPr="00D1515C">
        <w:rPr>
          <w:szCs w:val="24"/>
          <w:lang w:val="bg-BG"/>
        </w:rPr>
        <w:t>3. Key experts:</w:t>
      </w:r>
    </w:p>
    <w:p w:rsidR="00766DA7" w:rsidRPr="00D1515C" w:rsidRDefault="00766DA7" w:rsidP="00E54EEC">
      <w:pPr>
        <w:spacing w:before="0" w:after="0"/>
        <w:jc w:val="both"/>
        <w:rPr>
          <w:szCs w:val="24"/>
          <w:lang w:val="bg-BG"/>
        </w:rPr>
      </w:pPr>
      <w:r w:rsidRPr="00D1515C">
        <w:rPr>
          <w:szCs w:val="24"/>
          <w:lang w:val="bg-BG"/>
        </w:rPr>
        <w:t>The key personnel should consist at least from:</w:t>
      </w:r>
    </w:p>
    <w:p w:rsidR="00766DA7" w:rsidRPr="00D1515C" w:rsidRDefault="00766DA7" w:rsidP="00E54EEC">
      <w:pPr>
        <w:spacing w:before="0" w:after="0"/>
        <w:jc w:val="both"/>
        <w:rPr>
          <w:szCs w:val="24"/>
          <w:lang w:val="bg-BG"/>
        </w:rPr>
      </w:pPr>
      <w:r w:rsidRPr="00D1515C">
        <w:rPr>
          <w:szCs w:val="24"/>
          <w:lang w:val="bg-BG"/>
        </w:rPr>
        <w:t>Site manager-technically qualified person, responsible for technical management of the construction.</w:t>
      </w:r>
    </w:p>
    <w:p w:rsidR="00766DA7" w:rsidRPr="00D1515C" w:rsidRDefault="00766DA7" w:rsidP="00E54EEC">
      <w:pPr>
        <w:spacing w:before="0" w:after="0"/>
        <w:jc w:val="both"/>
        <w:rPr>
          <w:szCs w:val="24"/>
          <w:lang w:val="bg-BG"/>
        </w:rPr>
      </w:pPr>
      <w:r w:rsidRPr="00D1515C">
        <w:rPr>
          <w:szCs w:val="24"/>
          <w:lang w:val="bg-BG"/>
        </w:rPr>
        <w:t>Minimum requirements:</w:t>
      </w:r>
    </w:p>
    <w:p w:rsidR="00766DA7" w:rsidRPr="00D1515C" w:rsidRDefault="00766DA7" w:rsidP="00E54EEC">
      <w:pPr>
        <w:spacing w:before="0" w:after="0"/>
        <w:jc w:val="both"/>
        <w:rPr>
          <w:szCs w:val="24"/>
          <w:lang w:val="bg-BG"/>
        </w:rPr>
      </w:pPr>
      <w:r w:rsidRPr="00D1515C">
        <w:rPr>
          <w:szCs w:val="24"/>
          <w:lang w:val="bg-BG"/>
        </w:rPr>
        <w:t>Educational qualifications:</w:t>
      </w:r>
    </w:p>
    <w:p w:rsidR="00766DA7" w:rsidRPr="00D1515C" w:rsidRDefault="00766DA7" w:rsidP="00E54EEC">
      <w:pPr>
        <w:spacing w:before="0" w:after="0"/>
        <w:jc w:val="both"/>
        <w:rPr>
          <w:szCs w:val="24"/>
          <w:lang w:val="bg-BG"/>
        </w:rPr>
      </w:pPr>
      <w:r w:rsidRPr="00D1515C">
        <w:rPr>
          <w:szCs w:val="24"/>
          <w:lang w:val="bg-BG"/>
        </w:rPr>
        <w:t>Diploma from an accredited higher school  qualified as "Construction engineer", "Engineer" or "Architect” or equivalent</w:t>
      </w:r>
    </w:p>
    <w:p w:rsidR="00766DA7" w:rsidRPr="00D1515C" w:rsidRDefault="00766DA7" w:rsidP="00E54EEC">
      <w:pPr>
        <w:spacing w:before="0" w:after="0"/>
        <w:jc w:val="both"/>
        <w:rPr>
          <w:szCs w:val="24"/>
          <w:lang w:val="bg-BG"/>
        </w:rPr>
      </w:pPr>
      <w:r w:rsidRPr="00D1515C">
        <w:rPr>
          <w:szCs w:val="24"/>
          <w:lang w:val="bg-BG"/>
        </w:rPr>
        <w:t xml:space="preserve">Or </w:t>
      </w:r>
    </w:p>
    <w:p w:rsidR="00766DA7" w:rsidRPr="00D1515C" w:rsidRDefault="00766DA7" w:rsidP="00E54EEC">
      <w:pPr>
        <w:spacing w:before="0" w:after="0"/>
        <w:jc w:val="both"/>
        <w:rPr>
          <w:szCs w:val="24"/>
          <w:lang w:val="bg-BG"/>
        </w:rPr>
      </w:pPr>
      <w:r w:rsidRPr="00D1515C">
        <w:rPr>
          <w:szCs w:val="24"/>
          <w:lang w:val="bg-BG"/>
        </w:rPr>
        <w:t>Having a secondary education with four years course of study with professional qualification in the fields of “Architecture and Construction” or “Technics” or equivalent.</w:t>
      </w:r>
    </w:p>
    <w:p w:rsidR="002B0469" w:rsidRPr="00D1515C" w:rsidRDefault="00766DA7" w:rsidP="00E54EEC">
      <w:pPr>
        <w:spacing w:before="0" w:after="0"/>
        <w:jc w:val="both"/>
        <w:rPr>
          <w:szCs w:val="24"/>
          <w:lang w:val="bg-BG"/>
        </w:rPr>
      </w:pPr>
      <w:r w:rsidRPr="00D1515C">
        <w:rPr>
          <w:szCs w:val="24"/>
          <w:lang w:val="bg-BG"/>
        </w:rPr>
        <w:t>A technically qualified person can be also accepted a foreign person under conditions set out in art.163a, par.3 from the Bulgarian Low on Spatial Planning.</w:t>
      </w:r>
    </w:p>
    <w:p w:rsidR="00E54EEC" w:rsidRDefault="00E54EEC" w:rsidP="00E54EEC">
      <w:pPr>
        <w:spacing w:before="0" w:after="0"/>
        <w:jc w:val="both"/>
        <w:rPr>
          <w:color w:val="FF0000"/>
          <w:szCs w:val="24"/>
          <w:lang w:val="bg-BG"/>
        </w:rPr>
      </w:pPr>
    </w:p>
    <w:p w:rsidR="00833DA6" w:rsidRPr="000E27C4" w:rsidRDefault="00833DA6" w:rsidP="00E54EEC">
      <w:pPr>
        <w:jc w:val="both"/>
        <w:rPr>
          <w:sz w:val="22"/>
          <w:u w:val="single"/>
          <w:lang w:val="en-GB"/>
        </w:rPr>
      </w:pPr>
      <w:r w:rsidRPr="000E27C4">
        <w:rPr>
          <w:sz w:val="22"/>
          <w:u w:val="single"/>
          <w:lang w:val="en-GB"/>
        </w:rPr>
        <w:t>Capacity-providing entities:</w:t>
      </w:r>
    </w:p>
    <w:p w:rsidR="00833DA6" w:rsidRPr="00833DA6" w:rsidRDefault="00833DA6" w:rsidP="00E54EEC">
      <w:pPr>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rsidR="00833DA6" w:rsidRPr="00833DA6" w:rsidRDefault="00833DA6" w:rsidP="00E54EEC">
      <w:pPr>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rsidR="00833DA6" w:rsidRDefault="00833DA6" w:rsidP="00E54EEC">
      <w:pPr>
        <w:jc w:val="both"/>
        <w:rPr>
          <w:sz w:val="22"/>
          <w:highlight w:val="yellow"/>
          <w:lang w:val="en-GB"/>
        </w:rPr>
      </w:pPr>
      <w:r w:rsidRPr="00833DA6">
        <w:rPr>
          <w:sz w:val="22"/>
          <w:lang w:val="en-GB"/>
        </w:rPr>
        <w:t>With regard to economic and financial criteria, the entities upon whose capacity the tenderer relies, become jointly and severally liable for the performance of the contract.</w:t>
      </w:r>
    </w:p>
    <w:p w:rsidR="00833DA6" w:rsidRPr="00B77C61" w:rsidRDefault="008A0A49" w:rsidP="00B77C61">
      <w:pPr>
        <w:widowControl/>
        <w:snapToGrid w:val="0"/>
        <w:spacing w:after="0"/>
        <w:ind w:right="360"/>
        <w:jc w:val="both"/>
        <w:rPr>
          <w:lang w:val="bg-BG"/>
        </w:rPr>
      </w:pPr>
      <w:r w:rsidRPr="00FA6F9F">
        <w:rPr>
          <w:lang w:val="en-GB"/>
        </w:rPr>
        <w:lastRenderedPageBreak/>
        <w:t xml:space="preserve">Financial data </w:t>
      </w:r>
      <w:r w:rsidRPr="002E50D2">
        <w:rPr>
          <w:lang w:val="en-GB"/>
        </w:rPr>
        <w:t xml:space="preserve">to be provided by the </w:t>
      </w:r>
      <w:r>
        <w:rPr>
          <w:lang w:val="en-GB"/>
        </w:rPr>
        <w:t>tenderer</w:t>
      </w:r>
      <w:r w:rsidRPr="00FA6F9F">
        <w:rPr>
          <w:lang w:val="en-GB"/>
        </w:rPr>
        <w:t xml:space="preserve"> in </w:t>
      </w:r>
      <w:r>
        <w:rPr>
          <w:lang w:val="en-GB"/>
        </w:rPr>
        <w:t xml:space="preserve">relation to the selection criteria must be expressed in </w:t>
      </w:r>
      <w:r w:rsidRPr="00E54EEC">
        <w:rPr>
          <w:lang w:val="en-GB"/>
        </w:rPr>
        <w:t>EUR</w:t>
      </w:r>
      <w:r w:rsidR="00E54EEC">
        <w:rPr>
          <w:lang w:val="bg-BG"/>
        </w:rPr>
        <w:t>.</w:t>
      </w:r>
      <w:r w:rsidRPr="00E54EEC">
        <w:rPr>
          <w:lang w:val="en-GB"/>
        </w:rPr>
        <w:t xml:space="preserve"> </w:t>
      </w:r>
      <w:r>
        <w:rPr>
          <w:lang w:val="en-GB"/>
        </w:rPr>
        <w:t xml:space="preserve"> If applicable, where a candidate refers to amounts originally expressed in a different currency, the conversion to </w:t>
      </w:r>
      <w:r w:rsidRPr="00E54EEC">
        <w:rPr>
          <w:lang w:val="en-GB"/>
        </w:rPr>
        <w:t>EUR</w:t>
      </w:r>
      <w:r w:rsidR="00E54EEC">
        <w:rPr>
          <w:lang w:val="bg-BG"/>
        </w:rPr>
        <w:t xml:space="preserve"> </w:t>
      </w:r>
      <w:r>
        <w:rPr>
          <w:lang w:val="en-GB"/>
        </w:rPr>
        <w:t xml:space="preserve">shall be made in accordance with the InforEuro exchange rate of </w:t>
      </w:r>
      <w:r w:rsidR="00B77C61">
        <w:rPr>
          <w:highlight w:val="yellow"/>
          <w:lang w:val="bg-BG"/>
        </w:rPr>
        <w:t xml:space="preserve"> </w:t>
      </w:r>
      <w:r w:rsidR="00B77C61">
        <w:rPr>
          <w:lang w:val="en-GB"/>
        </w:rPr>
        <w:t xml:space="preserve">the month of the submission of the tender offer, which can be found at the following address: </w:t>
      </w:r>
      <w:hyperlink r:id="rId8" w:history="1">
        <w:r w:rsidR="00B77C61" w:rsidRPr="00AB6029">
          <w:rPr>
            <w:rStyle w:val="a4"/>
            <w:lang w:val="en-GB"/>
          </w:rPr>
          <w:t>http://ec.europa.eu/budget/graphs/inforeuro.html</w:t>
        </w:r>
      </w:hyperlink>
      <w:r w:rsidR="00B77C61">
        <w:rPr>
          <w:lang w:val="en-GB"/>
        </w:rPr>
        <w:t>.</w:t>
      </w:r>
    </w:p>
    <w:p w:rsidR="002139C6" w:rsidRPr="00DD2F41" w:rsidRDefault="002139C6" w:rsidP="0076200F">
      <w:pPr>
        <w:pStyle w:val="PRAGHeading2"/>
        <w:jc w:val="both"/>
        <w:rPr>
          <w:rStyle w:val="a6"/>
          <w:sz w:val="22"/>
          <w:szCs w:val="22"/>
          <w:lang w:val="en-GB"/>
        </w:rPr>
      </w:pPr>
      <w:r w:rsidRPr="00DD2F41">
        <w:rPr>
          <w:rStyle w:val="a6"/>
          <w:sz w:val="22"/>
          <w:szCs w:val="22"/>
          <w:lang w:val="en-GB"/>
        </w:rPr>
        <w:t>Award criteria</w:t>
      </w:r>
    </w:p>
    <w:p w:rsidR="00492F3A" w:rsidRDefault="00492F3A" w:rsidP="00B77C61">
      <w:pPr>
        <w:jc w:val="both"/>
        <w:rPr>
          <w:sz w:val="22"/>
          <w:lang w:val="bg-BG"/>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rsidR="002139C6" w:rsidRPr="00DD2F41" w:rsidRDefault="00752197" w:rsidP="0076200F">
      <w:pPr>
        <w:jc w:val="both"/>
        <w:rPr>
          <w:sz w:val="22"/>
          <w:szCs w:val="22"/>
          <w:lang w:val="en-GB"/>
        </w:rPr>
      </w:pPr>
      <w:r w:rsidRPr="00752197">
        <w:rPr>
          <w:snapToGrid/>
          <w:sz w:val="22"/>
          <w:szCs w:val="22"/>
          <w:lang w:val="en-GB"/>
        </w:rPr>
        <w:pict>
          <v:line id="_x0000_s1027" style="position:absolute;left:0;text-align:left;z-index:2" from="0,12pt" to="468pt,12.05pt" o:allowincell="f" strokecolor="#d4d4d4" strokeweight="1.75pt">
            <v:shadow on="t" origin=",32385f" offset="0,-1pt"/>
          </v:line>
        </w:pict>
      </w:r>
    </w:p>
    <w:p w:rsidR="002139C6" w:rsidRPr="00DD2F41" w:rsidRDefault="002139C6" w:rsidP="00B77C61">
      <w:pPr>
        <w:jc w:val="both"/>
        <w:rPr>
          <w:rStyle w:val="a6"/>
          <w:sz w:val="22"/>
          <w:szCs w:val="22"/>
          <w:lang w:val="en-GB"/>
        </w:rPr>
      </w:pPr>
      <w:r w:rsidRPr="00DD2F41">
        <w:rPr>
          <w:rStyle w:val="a6"/>
          <w:sz w:val="22"/>
          <w:szCs w:val="22"/>
          <w:lang w:val="en-GB"/>
        </w:rPr>
        <w:t>TENDERING</w:t>
      </w:r>
    </w:p>
    <w:p w:rsidR="007E0D76" w:rsidRDefault="007E0D76" w:rsidP="0076200F">
      <w:pPr>
        <w:pStyle w:val="PRAGHeading2"/>
        <w:jc w:val="both"/>
        <w:rPr>
          <w:rStyle w:val="a6"/>
          <w:sz w:val="22"/>
          <w:szCs w:val="22"/>
          <w:lang w:val="en-GB"/>
        </w:rPr>
      </w:pPr>
      <w:r>
        <w:rPr>
          <w:rStyle w:val="a6"/>
          <w:sz w:val="22"/>
          <w:szCs w:val="22"/>
          <w:lang w:val="en-GB"/>
        </w:rPr>
        <w:t xml:space="preserve">Ethics clauses </w:t>
      </w:r>
    </w:p>
    <w:p w:rsidR="007E0D76" w:rsidRPr="007E0D76" w:rsidRDefault="007E0D76" w:rsidP="0076200F">
      <w:pPr>
        <w:pStyle w:val="PRAGHeading2"/>
        <w:numPr>
          <w:ilvl w:val="0"/>
          <w:numId w:val="0"/>
        </w:numPr>
        <w:ind w:left="720"/>
        <w:jc w:val="both"/>
        <w:rPr>
          <w:rStyle w:val="a6"/>
          <w:b w:val="0"/>
          <w:sz w:val="22"/>
          <w:szCs w:val="22"/>
          <w:lang w:val="en-GB"/>
        </w:rPr>
      </w:pPr>
      <w:r w:rsidRPr="007E0D76">
        <w:rPr>
          <w:rStyle w:val="a6"/>
          <w:b w:val="0"/>
          <w:sz w:val="22"/>
          <w:szCs w:val="22"/>
          <w:lang w:val="en-GB"/>
        </w:rPr>
        <w:t xml:space="preserve">The tenderers are </w:t>
      </w:r>
      <w:r>
        <w:rPr>
          <w:rStyle w:val="a6"/>
          <w:b w:val="0"/>
          <w:sz w:val="22"/>
          <w:szCs w:val="22"/>
          <w:lang w:val="en-GB"/>
        </w:rPr>
        <w:t xml:space="preserve">subject to the </w:t>
      </w:r>
      <w:r w:rsidR="00C43C3C">
        <w:rPr>
          <w:rStyle w:val="a6"/>
          <w:b w:val="0"/>
          <w:sz w:val="22"/>
          <w:szCs w:val="22"/>
          <w:lang w:val="en-GB"/>
        </w:rPr>
        <w:t>e</w:t>
      </w:r>
      <w:r w:rsidRPr="007E0D76">
        <w:rPr>
          <w:rStyle w:val="a6"/>
          <w:b w:val="0"/>
          <w:sz w:val="22"/>
          <w:szCs w:val="22"/>
          <w:lang w:val="en-GB"/>
        </w:rPr>
        <w:t xml:space="preserve">thics clauses, detailed in Section </w:t>
      </w:r>
      <w:r w:rsidR="00C43C3C">
        <w:rPr>
          <w:rStyle w:val="a6"/>
          <w:b w:val="0"/>
          <w:sz w:val="22"/>
          <w:szCs w:val="22"/>
          <w:lang w:val="en-GB"/>
        </w:rPr>
        <w:t>2.5.6.</w:t>
      </w:r>
      <w:r w:rsidRPr="007E0D76">
        <w:rPr>
          <w:rStyle w:val="a6"/>
          <w:b w:val="0"/>
          <w:sz w:val="22"/>
          <w:szCs w:val="22"/>
          <w:lang w:val="en-GB"/>
        </w:rPr>
        <w:t xml:space="preserve"> of the </w:t>
      </w:r>
      <w:r w:rsidR="00C43C3C">
        <w:rPr>
          <w:rStyle w:val="a6"/>
          <w:b w:val="0"/>
          <w:sz w:val="22"/>
          <w:szCs w:val="22"/>
          <w:lang w:val="en-GB"/>
        </w:rPr>
        <w:t>p</w:t>
      </w:r>
      <w:r w:rsidRPr="007E0D76">
        <w:rPr>
          <w:rStyle w:val="a6"/>
          <w:b w:val="0"/>
          <w:sz w:val="22"/>
          <w:szCs w:val="22"/>
          <w:lang w:val="en-GB"/>
        </w:rPr>
        <w:t xml:space="preserve">ractical </w:t>
      </w:r>
      <w:r w:rsidR="00C43C3C">
        <w:rPr>
          <w:rStyle w:val="a6"/>
          <w:b w:val="0"/>
          <w:sz w:val="22"/>
          <w:szCs w:val="22"/>
          <w:lang w:val="en-GB"/>
        </w:rPr>
        <w:t>g</w:t>
      </w:r>
      <w:r w:rsidRPr="007E0D76">
        <w:rPr>
          <w:rStyle w:val="a6"/>
          <w:b w:val="0"/>
          <w:sz w:val="22"/>
          <w:szCs w:val="22"/>
          <w:lang w:val="en-GB"/>
        </w:rPr>
        <w:t>uide</w:t>
      </w:r>
      <w:r>
        <w:rPr>
          <w:rStyle w:val="a6"/>
          <w:b w:val="0"/>
          <w:sz w:val="22"/>
          <w:szCs w:val="22"/>
          <w:lang w:val="en-GB"/>
        </w:rPr>
        <w:t xml:space="preserve">. </w:t>
      </w:r>
    </w:p>
    <w:p w:rsidR="002139C6" w:rsidRPr="00B77C61" w:rsidRDefault="002139C6" w:rsidP="0076200F">
      <w:pPr>
        <w:pStyle w:val="PRAGHeading2"/>
        <w:jc w:val="both"/>
        <w:rPr>
          <w:rStyle w:val="a6"/>
          <w:sz w:val="22"/>
          <w:szCs w:val="22"/>
          <w:lang w:val="en-GB"/>
        </w:rPr>
      </w:pPr>
      <w:r w:rsidRPr="00DD2F41">
        <w:rPr>
          <w:rStyle w:val="a6"/>
          <w:sz w:val="22"/>
          <w:szCs w:val="22"/>
          <w:lang w:val="en-GB"/>
        </w:rPr>
        <w:t>Legal basis</w:t>
      </w:r>
      <w:r w:rsidR="00A95184">
        <w:rPr>
          <w:rStyle w:val="af1"/>
          <w:b/>
          <w:sz w:val="22"/>
          <w:szCs w:val="22"/>
          <w:lang w:val="en-GB"/>
        </w:rPr>
        <w:footnoteReference w:id="1"/>
      </w:r>
    </w:p>
    <w:p w:rsidR="00B77C61" w:rsidRPr="00B77C61" w:rsidRDefault="00B77C61" w:rsidP="00B77C61">
      <w:pPr>
        <w:pStyle w:val="PRAGHeading2"/>
        <w:numPr>
          <w:ilvl w:val="0"/>
          <w:numId w:val="0"/>
        </w:numPr>
        <w:jc w:val="both"/>
        <w:rPr>
          <w:rStyle w:val="a6"/>
          <w:b w:val="0"/>
          <w:sz w:val="22"/>
          <w:szCs w:val="22"/>
          <w:lang w:val="en-GB"/>
        </w:rPr>
      </w:pPr>
      <w:r w:rsidRPr="00B77C61">
        <w:rPr>
          <w:rStyle w:val="a6"/>
          <w:b w:val="0"/>
          <w:sz w:val="22"/>
          <w:szCs w:val="22"/>
          <w:lang w:val="en-GB"/>
        </w:rPr>
        <w:t>Regulation (EU) No 236/2014 of the European Parliament and of the Council of 11 March 2014 laying down common rules and procedures for the implementation of the Union's instruments for financing external action and Interreg-IPA CBC Bulgaria - Serbia Programme, CCI Number: CCI 2014TC16I5CB007.</w:t>
      </w:r>
    </w:p>
    <w:p w:rsidR="00B77C61" w:rsidRPr="00B77C61" w:rsidRDefault="00B77C61" w:rsidP="00B77C61">
      <w:pPr>
        <w:pStyle w:val="PRAGHeading2"/>
        <w:numPr>
          <w:ilvl w:val="0"/>
          <w:numId w:val="0"/>
        </w:numPr>
        <w:jc w:val="both"/>
        <w:rPr>
          <w:rStyle w:val="a6"/>
          <w:b w:val="0"/>
          <w:sz w:val="22"/>
          <w:szCs w:val="22"/>
          <w:lang w:val="en-GB"/>
        </w:rPr>
      </w:pPr>
      <w:r w:rsidRPr="00B77C61">
        <w:rPr>
          <w:rStyle w:val="a6"/>
          <w:b w:val="0"/>
          <w:sz w:val="22"/>
          <w:szCs w:val="22"/>
          <w:lang w:val="en-GB"/>
        </w:rPr>
        <w:t>Bulgarian Law of Spatial Planning.</w:t>
      </w:r>
    </w:p>
    <w:p w:rsidR="00B77C61" w:rsidRPr="00B77C61" w:rsidRDefault="00B77C61" w:rsidP="00B77C61">
      <w:pPr>
        <w:pStyle w:val="PRAGHeading2"/>
        <w:numPr>
          <w:ilvl w:val="0"/>
          <w:numId w:val="0"/>
        </w:numPr>
        <w:jc w:val="both"/>
        <w:rPr>
          <w:rStyle w:val="a6"/>
          <w:b w:val="0"/>
          <w:sz w:val="22"/>
          <w:szCs w:val="22"/>
          <w:lang w:val="en-GB"/>
        </w:rPr>
      </w:pPr>
      <w:r w:rsidRPr="00B77C61">
        <w:rPr>
          <w:rStyle w:val="a6"/>
          <w:b w:val="0"/>
          <w:sz w:val="22"/>
          <w:szCs w:val="22"/>
          <w:lang w:val="en-GB"/>
        </w:rPr>
        <w:t>Bulgarian Procurement Law.</w:t>
      </w:r>
    </w:p>
    <w:p w:rsidR="00B77C61" w:rsidRPr="00B77C61" w:rsidRDefault="00B77C61" w:rsidP="00B77C61">
      <w:pPr>
        <w:pStyle w:val="PRAGHeading2"/>
        <w:numPr>
          <w:ilvl w:val="0"/>
          <w:numId w:val="0"/>
        </w:numPr>
        <w:jc w:val="both"/>
        <w:rPr>
          <w:rStyle w:val="a6"/>
          <w:b w:val="0"/>
          <w:sz w:val="22"/>
          <w:szCs w:val="22"/>
          <w:lang w:val="en-GB"/>
        </w:rPr>
      </w:pPr>
      <w:r w:rsidRPr="00B77C61">
        <w:rPr>
          <w:rStyle w:val="a6"/>
          <w:b w:val="0"/>
          <w:sz w:val="22"/>
          <w:szCs w:val="22"/>
          <w:lang w:val="en-GB"/>
        </w:rPr>
        <w:t>Bulgarian Law on Obligations and Contracts.</w:t>
      </w:r>
    </w:p>
    <w:p w:rsidR="00B77C61" w:rsidRPr="00B77C61" w:rsidRDefault="00B77C61" w:rsidP="00B77C61">
      <w:pPr>
        <w:pStyle w:val="PRAGHeading2"/>
        <w:numPr>
          <w:ilvl w:val="0"/>
          <w:numId w:val="0"/>
        </w:numPr>
        <w:jc w:val="both"/>
        <w:rPr>
          <w:rStyle w:val="a6"/>
          <w:b w:val="0"/>
          <w:sz w:val="22"/>
          <w:szCs w:val="22"/>
          <w:lang w:val="en-GB"/>
        </w:rPr>
      </w:pPr>
      <w:r w:rsidRPr="00B77C61">
        <w:rPr>
          <w:rStyle w:val="a6"/>
          <w:b w:val="0"/>
          <w:sz w:val="22"/>
          <w:szCs w:val="22"/>
          <w:lang w:val="en-GB"/>
        </w:rPr>
        <w:t>Bulgarian Law for Chamber of Builders;</w:t>
      </w:r>
    </w:p>
    <w:p w:rsidR="003C3139" w:rsidRPr="00DD2F41" w:rsidRDefault="003C3139" w:rsidP="00B77C61">
      <w:pPr>
        <w:pStyle w:val="PRAGHeading2"/>
        <w:rPr>
          <w:rStyle w:val="a6"/>
          <w:sz w:val="22"/>
          <w:szCs w:val="22"/>
          <w:lang w:val="en-GB"/>
        </w:rPr>
      </w:pPr>
      <w:r>
        <w:rPr>
          <w:rStyle w:val="a6"/>
          <w:sz w:val="22"/>
          <w:szCs w:val="22"/>
          <w:lang w:val="en-GB"/>
        </w:rPr>
        <w:t>Appeals</w:t>
      </w:r>
    </w:p>
    <w:p w:rsidR="003C3139" w:rsidRDefault="003C3139" w:rsidP="00952E5C">
      <w:pPr>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rsidR="00B272AC" w:rsidRDefault="00B272AC" w:rsidP="00952E5C">
      <w:pPr>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 xml:space="preserve">ystem (EDES)  and communicated to the persons and entities concerned in </w:t>
      </w:r>
      <w:r w:rsidRPr="00B272AC">
        <w:rPr>
          <w:sz w:val="22"/>
          <w:szCs w:val="22"/>
          <w:lang w:val="en-GB"/>
        </w:rPr>
        <w:lastRenderedPageBreak/>
        <w:t>relation to the award or the execution of a procurement contract.</w:t>
      </w:r>
    </w:p>
    <w:sectPr w:rsidR="00B272AC" w:rsidSect="007214F6">
      <w:headerReference w:type="default" r:id="rId9"/>
      <w:footerReference w:type="default" r:id="rId10"/>
      <w:pgSz w:w="12240" w:h="15840" w:code="1"/>
      <w:pgMar w:top="1440" w:right="1041" w:bottom="1440" w:left="1276" w:header="851" w:footer="618"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24D0" w:rsidRDefault="006A24D0">
      <w:r>
        <w:separator/>
      </w:r>
    </w:p>
  </w:endnote>
  <w:endnote w:type="continuationSeparator" w:id="0">
    <w:p w:rsidR="006A24D0" w:rsidRDefault="006A24D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2835" w:rsidRDefault="00A02835" w:rsidP="009B4A52">
    <w:pPr>
      <w:pStyle w:val="a9"/>
      <w:tabs>
        <w:tab w:val="clear" w:pos="4536"/>
        <w:tab w:val="clear" w:pos="9072"/>
        <w:tab w:val="right" w:pos="9356"/>
      </w:tabs>
      <w:spacing w:before="0" w:after="0"/>
      <w:rPr>
        <w:b/>
        <w:sz w:val="18"/>
      </w:rPr>
    </w:pPr>
  </w:p>
  <w:p w:rsidR="00A02835" w:rsidRPr="00913ED7" w:rsidRDefault="00A02835" w:rsidP="00A02835">
    <w:pPr>
      <w:widowControl/>
      <w:tabs>
        <w:tab w:val="right" w:pos="8789"/>
      </w:tabs>
      <w:spacing w:before="0" w:after="0"/>
      <w:ind w:right="43"/>
      <w:jc w:val="center"/>
      <w:rPr>
        <w:b/>
        <w:bCs/>
        <w:i/>
        <w:sz w:val="20"/>
        <w:lang w:val="bg-BG"/>
      </w:rPr>
    </w:pPr>
    <w:r w:rsidRPr="009438A5">
      <w:rPr>
        <w:b/>
        <w:bCs/>
        <w:i/>
        <w:iCs/>
        <w:sz w:val="20"/>
        <w:lang w:val="bg-BG"/>
      </w:rPr>
      <w:t>The project is co-funded by EU through the Interreg-IPA CBC Programme Bulgaria-</w:t>
    </w:r>
    <w:bookmarkStart w:id="3" w:name="_Hlk54613385"/>
    <w:r w:rsidRPr="00913ED7">
      <w:rPr>
        <w:b/>
        <w:bCs/>
        <w:i/>
        <w:iCs/>
        <w:sz w:val="20"/>
        <w:lang w:val="en-US"/>
      </w:rPr>
      <w:t>Serbia Programme 2014-2020, CCI 2014TC16I5CB007</w:t>
    </w:r>
    <w:bookmarkEnd w:id="3"/>
  </w:p>
  <w:p w:rsidR="00B640CA" w:rsidRPr="000F07CD" w:rsidRDefault="003C07AC" w:rsidP="009B4A52">
    <w:pPr>
      <w:pStyle w:val="a9"/>
      <w:tabs>
        <w:tab w:val="clear" w:pos="4536"/>
        <w:tab w:val="clear" w:pos="9072"/>
        <w:tab w:val="right" w:pos="9356"/>
      </w:tabs>
      <w:spacing w:before="0" w:after="0"/>
      <w:rPr>
        <w:rStyle w:val="aa"/>
        <w:sz w:val="18"/>
        <w:szCs w:val="18"/>
        <w:lang w:val="en-GB"/>
      </w:rPr>
    </w:pPr>
    <w:r w:rsidRPr="003C07AC">
      <w:rPr>
        <w:b/>
        <w:sz w:val="18"/>
      </w:rPr>
      <w:t>August 2020</w:t>
    </w:r>
    <w:r w:rsidR="00B640CA" w:rsidRPr="000F07CD">
      <w:rPr>
        <w:sz w:val="18"/>
        <w:szCs w:val="18"/>
        <w:lang w:val="en-GB"/>
      </w:rPr>
      <w:tab/>
      <w:t xml:space="preserve">Page </w:t>
    </w:r>
    <w:r w:rsidR="00752197" w:rsidRPr="009B4A52">
      <w:rPr>
        <w:rStyle w:val="aa"/>
        <w:sz w:val="18"/>
        <w:szCs w:val="18"/>
      </w:rPr>
      <w:fldChar w:fldCharType="begin"/>
    </w:r>
    <w:r w:rsidR="00B640CA" w:rsidRPr="000F07CD">
      <w:rPr>
        <w:rStyle w:val="aa"/>
        <w:sz w:val="18"/>
        <w:szCs w:val="18"/>
        <w:lang w:val="en-GB"/>
      </w:rPr>
      <w:instrText xml:space="preserve"> PAGE </w:instrText>
    </w:r>
    <w:r w:rsidR="00752197" w:rsidRPr="009B4A52">
      <w:rPr>
        <w:rStyle w:val="aa"/>
        <w:sz w:val="18"/>
        <w:szCs w:val="18"/>
      </w:rPr>
      <w:fldChar w:fldCharType="separate"/>
    </w:r>
    <w:r w:rsidR="004934FB">
      <w:rPr>
        <w:rStyle w:val="aa"/>
        <w:noProof/>
        <w:sz w:val="18"/>
        <w:szCs w:val="18"/>
        <w:lang w:val="en-GB"/>
      </w:rPr>
      <w:t>1</w:t>
    </w:r>
    <w:r w:rsidR="00752197" w:rsidRPr="009B4A52">
      <w:rPr>
        <w:rStyle w:val="aa"/>
        <w:sz w:val="18"/>
        <w:szCs w:val="18"/>
      </w:rPr>
      <w:fldChar w:fldCharType="end"/>
    </w:r>
    <w:r w:rsidR="00B640CA" w:rsidRPr="000F07CD">
      <w:rPr>
        <w:rStyle w:val="aa"/>
        <w:sz w:val="18"/>
        <w:szCs w:val="18"/>
        <w:lang w:val="en-GB"/>
      </w:rPr>
      <w:t xml:space="preserve"> of </w:t>
    </w:r>
    <w:r w:rsidR="00752197" w:rsidRPr="009B4A52">
      <w:rPr>
        <w:rStyle w:val="aa"/>
        <w:sz w:val="18"/>
        <w:szCs w:val="18"/>
      </w:rPr>
      <w:fldChar w:fldCharType="begin"/>
    </w:r>
    <w:r w:rsidR="00B640CA" w:rsidRPr="000F07CD">
      <w:rPr>
        <w:rStyle w:val="aa"/>
        <w:sz w:val="18"/>
        <w:szCs w:val="18"/>
        <w:lang w:val="en-GB"/>
      </w:rPr>
      <w:instrText xml:space="preserve"> NUMPAGES </w:instrText>
    </w:r>
    <w:r w:rsidR="00752197" w:rsidRPr="009B4A52">
      <w:rPr>
        <w:rStyle w:val="aa"/>
        <w:sz w:val="18"/>
        <w:szCs w:val="18"/>
      </w:rPr>
      <w:fldChar w:fldCharType="separate"/>
    </w:r>
    <w:r w:rsidR="004934FB">
      <w:rPr>
        <w:rStyle w:val="aa"/>
        <w:noProof/>
        <w:sz w:val="18"/>
        <w:szCs w:val="18"/>
        <w:lang w:val="en-GB"/>
      </w:rPr>
      <w:t>7</w:t>
    </w:r>
    <w:r w:rsidR="00752197" w:rsidRPr="009B4A52">
      <w:rPr>
        <w:rStyle w:val="aa"/>
        <w:sz w:val="18"/>
        <w:szCs w:val="18"/>
      </w:rPr>
      <w:fldChar w:fldCharType="end"/>
    </w:r>
  </w:p>
  <w:p w:rsidR="00B640CA" w:rsidRPr="000F07CD" w:rsidRDefault="00752197" w:rsidP="009B4A52">
    <w:pPr>
      <w:pStyle w:val="a9"/>
      <w:tabs>
        <w:tab w:val="clear" w:pos="4536"/>
        <w:tab w:val="clear" w:pos="9072"/>
        <w:tab w:val="right" w:pos="9356"/>
      </w:tabs>
      <w:spacing w:before="0" w:after="0"/>
      <w:rPr>
        <w:sz w:val="18"/>
        <w:szCs w:val="18"/>
        <w:lang w:val="en-GB"/>
      </w:rPr>
    </w:pPr>
    <w:r w:rsidRPr="009B4A52">
      <w:rPr>
        <w:sz w:val="18"/>
        <w:szCs w:val="18"/>
        <w:lang w:val="fr-BE"/>
      </w:rPr>
      <w:fldChar w:fldCharType="begin"/>
    </w:r>
    <w:r w:rsidR="00B640CA" w:rsidRPr="000F07CD">
      <w:rPr>
        <w:sz w:val="18"/>
        <w:szCs w:val="18"/>
        <w:lang w:val="en-GB"/>
      </w:rPr>
      <w:instrText xml:space="preserve"> FILENAME </w:instrText>
    </w:r>
    <w:r w:rsidRPr="009B4A52">
      <w:rPr>
        <w:sz w:val="18"/>
        <w:szCs w:val="18"/>
        <w:lang w:val="fr-BE"/>
      </w:rPr>
      <w:fldChar w:fldCharType="separate"/>
    </w:r>
    <w:r w:rsidR="004934FB">
      <w:rPr>
        <w:noProof/>
        <w:sz w:val="18"/>
        <w:szCs w:val="18"/>
        <w:lang w:val="en-GB"/>
      </w:rPr>
      <w:t>1.Contract notice_simpl_en.docx</w:t>
    </w:r>
    <w:r w:rsidRPr="009B4A52">
      <w:rPr>
        <w:sz w:val="18"/>
        <w:szCs w:val="18"/>
        <w:lang w:val="fr-B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24D0" w:rsidRDefault="006A24D0">
      <w:r>
        <w:separator/>
      </w:r>
    </w:p>
  </w:footnote>
  <w:footnote w:type="continuationSeparator" w:id="0">
    <w:p w:rsidR="006A24D0" w:rsidRDefault="006A24D0">
      <w:r>
        <w:continuationSeparator/>
      </w:r>
    </w:p>
  </w:footnote>
  <w:footnote w:id="1">
    <w:p w:rsidR="00A95184" w:rsidRPr="00321225" w:rsidRDefault="00A95184" w:rsidP="00C43C3C">
      <w:pPr>
        <w:pStyle w:val="af"/>
        <w:rPr>
          <w:lang w:val="en-GB"/>
        </w:rPr>
      </w:pPr>
      <w:r>
        <w:rPr>
          <w:rStyle w:val="af1"/>
        </w:rPr>
        <w:footnoteRef/>
      </w:r>
      <w:r w:rsidR="00C43C3C">
        <w:rPr>
          <w:lang w:val="en-GB"/>
        </w:rPr>
        <w:t xml:space="preserve"> </w:t>
      </w:r>
      <w:r w:rsidRPr="00321225">
        <w:rPr>
          <w:lang w:val="en-GB"/>
        </w:rP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Ind w:w="-404" w:type="dxa"/>
      <w:tblLook w:val="04A0"/>
    </w:tblPr>
    <w:tblGrid>
      <w:gridCol w:w="3075"/>
      <w:gridCol w:w="6733"/>
    </w:tblGrid>
    <w:tr w:rsidR="00952E5C" w:rsidRPr="009438A5" w:rsidTr="00952E5C">
      <w:trPr>
        <w:jc w:val="center"/>
      </w:trPr>
      <w:tc>
        <w:tcPr>
          <w:tcW w:w="3075" w:type="dxa"/>
          <w:hideMark/>
        </w:tcPr>
        <w:p w:rsidR="00952E5C" w:rsidRPr="009438A5" w:rsidRDefault="00752197" w:rsidP="00B23A46">
          <w:pPr>
            <w:widowControl/>
            <w:tabs>
              <w:tab w:val="center" w:pos="4703"/>
              <w:tab w:val="right" w:pos="9406"/>
            </w:tabs>
            <w:snapToGrid w:val="0"/>
            <w:spacing w:before="0" w:after="120" w:line="259" w:lineRule="auto"/>
            <w:rPr>
              <w:rFonts w:ascii="Calibri" w:eastAsia="Calibri" w:hAnsi="Calibri"/>
              <w:i/>
              <w:snapToGrid/>
              <w:color w:val="0F243E"/>
              <w:sz w:val="20"/>
              <w:szCs w:val="22"/>
              <w:lang w:val="bg-BG"/>
            </w:rPr>
          </w:pPr>
          <w:r w:rsidRPr="00752197">
            <w:rPr>
              <w:rFonts w:ascii="Calibri" w:eastAsia="Calibri" w:hAnsi="Calibri"/>
              <w:noProof/>
              <w:snapToGrid/>
              <w:sz w:val="22"/>
              <w:szCs w:val="22"/>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EU flag - full colour" style="width:99pt;height:68.25pt;visibility:visible;mso-wrap-style:square">
                <v:imagedata r:id="rId1" o:title=" EU flag - full colour"/>
              </v:shape>
            </w:pict>
          </w:r>
        </w:p>
      </w:tc>
      <w:tc>
        <w:tcPr>
          <w:tcW w:w="6733" w:type="dxa"/>
          <w:hideMark/>
        </w:tcPr>
        <w:p w:rsidR="00952E5C" w:rsidRPr="009438A5" w:rsidRDefault="00752197" w:rsidP="00B23A46">
          <w:pPr>
            <w:widowControl/>
            <w:tabs>
              <w:tab w:val="center" w:pos="4703"/>
              <w:tab w:val="right" w:pos="9406"/>
            </w:tabs>
            <w:snapToGrid w:val="0"/>
            <w:spacing w:before="0" w:after="120" w:line="259" w:lineRule="auto"/>
            <w:jc w:val="right"/>
            <w:rPr>
              <w:rFonts w:ascii="Calibri" w:eastAsia="Calibri" w:hAnsi="Calibri"/>
              <w:i/>
              <w:snapToGrid/>
              <w:color w:val="0F243E"/>
              <w:sz w:val="20"/>
              <w:szCs w:val="22"/>
              <w:lang w:val="bg-BG"/>
            </w:rPr>
          </w:pPr>
          <w:r w:rsidRPr="00752197">
            <w:rPr>
              <w:rFonts w:ascii="Arial" w:hAnsi="Arial" w:cs="Arial"/>
              <w:i/>
              <w:noProof/>
              <w:snapToGrid/>
              <w:sz w:val="22"/>
              <w:szCs w:val="22"/>
              <w:lang w:val="bg-BG" w:eastAsia="bg-BG"/>
            </w:rPr>
            <w:pict>
              <v:shape id="Picture 10" o:spid="_x0000_i1026" type="#_x0000_t75" style="width:269.25pt;height:62.25pt;visibility:visible;mso-wrap-style:square">
                <v:imagedata r:id="rId2" o:title=""/>
              </v:shape>
            </w:pict>
          </w:r>
        </w:p>
      </w:tc>
    </w:tr>
  </w:tbl>
  <w:p w:rsidR="00952E5C" w:rsidRPr="00952E5C" w:rsidRDefault="00952E5C" w:rsidP="001478D8">
    <w:pPr>
      <w:widowControl/>
      <w:tabs>
        <w:tab w:val="center" w:pos="4703"/>
        <w:tab w:val="right" w:pos="9406"/>
      </w:tabs>
      <w:snapToGrid w:val="0"/>
      <w:spacing w:before="0" w:after="0"/>
      <w:jc w:val="center"/>
      <w:rPr>
        <w:rFonts w:eastAsia="Calibri"/>
        <w:b/>
        <w:i/>
        <w:snapToGrid/>
        <w:color w:val="0F243E"/>
        <w:sz w:val="20"/>
        <w:szCs w:val="22"/>
        <w:lang w:val="bg-BG"/>
      </w:rPr>
    </w:pPr>
    <w:r w:rsidRPr="009438A5">
      <w:rPr>
        <w:rFonts w:eastAsia="Calibri"/>
        <w:b/>
        <w:i/>
        <w:snapToGrid/>
        <w:color w:val="0F243E"/>
        <w:sz w:val="20"/>
        <w:szCs w:val="22"/>
        <w:lang w:val="bg-BG"/>
      </w:rPr>
      <w:t xml:space="preserve">Project </w:t>
    </w:r>
    <w:bookmarkStart w:id="2" w:name="_Hlk54613452"/>
    <w:r>
      <w:rPr>
        <w:rFonts w:eastAsia="Calibri"/>
        <w:b/>
        <w:i/>
        <w:snapToGrid/>
        <w:color w:val="0F243E"/>
        <w:sz w:val="20"/>
        <w:szCs w:val="22"/>
        <w:lang w:val="bg-BG"/>
      </w:rPr>
      <w:t xml:space="preserve">№ </w:t>
    </w:r>
    <w:r w:rsidRPr="00913ED7">
      <w:rPr>
        <w:rFonts w:eastAsia="Calibri"/>
        <w:b/>
        <w:i/>
        <w:snapToGrid/>
        <w:color w:val="0F243E"/>
        <w:sz w:val="20"/>
        <w:szCs w:val="22"/>
        <w:lang w:val="bg-BG"/>
      </w:rPr>
      <w:t>CB007.2.11.</w:t>
    </w:r>
    <w:bookmarkEnd w:id="2"/>
    <w:r>
      <w:rPr>
        <w:rFonts w:eastAsia="Calibri"/>
        <w:b/>
        <w:i/>
        <w:snapToGrid/>
        <w:color w:val="0F243E"/>
        <w:sz w:val="20"/>
        <w:szCs w:val="22"/>
        <w:lang w:val="bg-BG"/>
      </w:rPr>
      <w:t>064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nsid w:val="47140478"/>
    <w:multiLevelType w:val="hybridMultilevel"/>
    <w:tmpl w:val="07D4C0B6"/>
    <w:lvl w:ilvl="0" w:tplc="9F643BCA">
      <w:start w:val="1"/>
      <w:numFmt w:val="decimal"/>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1">
    <w:nsid w:val="7B291D79"/>
    <w:multiLevelType w:val="multilevel"/>
    <w:tmpl w:val="BAC4A240"/>
    <w:lvl w:ilvl="0">
      <w:start w:val="1"/>
      <w:numFmt w:val="none"/>
      <w:pStyle w:val="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3"/>
      <w:lvlText w:val="%1%2.%3."/>
      <w:lvlJc w:val="left"/>
      <w:pPr>
        <w:ind w:left="720" w:hanging="720"/>
      </w:pPr>
      <w:rPr>
        <w:rFonts w:hint="default"/>
        <w:b w:val="0"/>
        <w:i w:val="0"/>
      </w:rPr>
    </w:lvl>
    <w:lvl w:ilvl="3">
      <w:start w:val="1"/>
      <w:numFmt w:val="decimal"/>
      <w:pStyle w:val="4"/>
      <w:lvlText w:val="%1%2.%3.%4."/>
      <w:lvlJc w:val="left"/>
      <w:pPr>
        <w:tabs>
          <w:tab w:val="num" w:pos="1418"/>
        </w:tabs>
        <w:ind w:left="1418" w:hanging="851"/>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9"/>
  </w:num>
  <w:num w:numId="33">
    <w:abstractNumId w:val="38"/>
  </w:num>
  <w:num w:numId="34">
    <w:abstractNumId w:val="28"/>
    <w:lvlOverride w:ilvl="0">
      <w:startOverride w:val="1"/>
    </w:lvlOverride>
  </w:num>
  <w:num w:numId="35">
    <w:abstractNumId w:val="37"/>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40"/>
  </w:num>
  <w:num w:numId="42">
    <w:abstractNumId w:val="32"/>
  </w:num>
  <w:num w:numId="43">
    <w:abstractNumId w:val="41"/>
  </w:num>
  <w:num w:numId="44">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stylePaneFormatFilter w:val="3F01"/>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813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C733BD"/>
    <w:rsid w:val="000132F4"/>
    <w:rsid w:val="000158F3"/>
    <w:rsid w:val="00015F72"/>
    <w:rsid w:val="0002576E"/>
    <w:rsid w:val="00033078"/>
    <w:rsid w:val="00040BD0"/>
    <w:rsid w:val="00046700"/>
    <w:rsid w:val="00047785"/>
    <w:rsid w:val="00061733"/>
    <w:rsid w:val="00065E5A"/>
    <w:rsid w:val="00072A47"/>
    <w:rsid w:val="000824D8"/>
    <w:rsid w:val="00090FAB"/>
    <w:rsid w:val="00096962"/>
    <w:rsid w:val="000B5CA1"/>
    <w:rsid w:val="000D17E3"/>
    <w:rsid w:val="000D65F3"/>
    <w:rsid w:val="000E27C4"/>
    <w:rsid w:val="000E7FF7"/>
    <w:rsid w:val="000F07CD"/>
    <w:rsid w:val="000F67CD"/>
    <w:rsid w:val="00113543"/>
    <w:rsid w:val="0012198B"/>
    <w:rsid w:val="00124E3D"/>
    <w:rsid w:val="001408AF"/>
    <w:rsid w:val="001409A5"/>
    <w:rsid w:val="00144A03"/>
    <w:rsid w:val="00146F24"/>
    <w:rsid w:val="001478D8"/>
    <w:rsid w:val="0016067C"/>
    <w:rsid w:val="00172778"/>
    <w:rsid w:val="0017755B"/>
    <w:rsid w:val="00184185"/>
    <w:rsid w:val="00193AA4"/>
    <w:rsid w:val="001A65EB"/>
    <w:rsid w:val="001C552D"/>
    <w:rsid w:val="001D5D4B"/>
    <w:rsid w:val="001D6F33"/>
    <w:rsid w:val="001E290D"/>
    <w:rsid w:val="00202C77"/>
    <w:rsid w:val="002139C6"/>
    <w:rsid w:val="00226910"/>
    <w:rsid w:val="00232D3A"/>
    <w:rsid w:val="00240E69"/>
    <w:rsid w:val="0025570B"/>
    <w:rsid w:val="002622DE"/>
    <w:rsid w:val="002654E1"/>
    <w:rsid w:val="00272709"/>
    <w:rsid w:val="00276D41"/>
    <w:rsid w:val="00283DDC"/>
    <w:rsid w:val="0029420A"/>
    <w:rsid w:val="002A0F9A"/>
    <w:rsid w:val="002A7B14"/>
    <w:rsid w:val="002B0469"/>
    <w:rsid w:val="002B5791"/>
    <w:rsid w:val="002B6113"/>
    <w:rsid w:val="002D75F2"/>
    <w:rsid w:val="002D7868"/>
    <w:rsid w:val="002E09EF"/>
    <w:rsid w:val="002E5030"/>
    <w:rsid w:val="002E735D"/>
    <w:rsid w:val="002E7C2B"/>
    <w:rsid w:val="002F1040"/>
    <w:rsid w:val="002F54C8"/>
    <w:rsid w:val="003100BB"/>
    <w:rsid w:val="0031245B"/>
    <w:rsid w:val="00321225"/>
    <w:rsid w:val="00337F6E"/>
    <w:rsid w:val="00341E7E"/>
    <w:rsid w:val="003432DB"/>
    <w:rsid w:val="00344654"/>
    <w:rsid w:val="00345D09"/>
    <w:rsid w:val="00366082"/>
    <w:rsid w:val="003720EC"/>
    <w:rsid w:val="00383D66"/>
    <w:rsid w:val="00387626"/>
    <w:rsid w:val="00391F9F"/>
    <w:rsid w:val="003923FE"/>
    <w:rsid w:val="003A2491"/>
    <w:rsid w:val="003A4B05"/>
    <w:rsid w:val="003A51DF"/>
    <w:rsid w:val="003B2B49"/>
    <w:rsid w:val="003B7B6F"/>
    <w:rsid w:val="003C07AC"/>
    <w:rsid w:val="003C3139"/>
    <w:rsid w:val="003D0E71"/>
    <w:rsid w:val="003E27E0"/>
    <w:rsid w:val="003E5E93"/>
    <w:rsid w:val="0040130C"/>
    <w:rsid w:val="00405ED1"/>
    <w:rsid w:val="00424AD7"/>
    <w:rsid w:val="0043263D"/>
    <w:rsid w:val="00434120"/>
    <w:rsid w:val="004430E0"/>
    <w:rsid w:val="00450828"/>
    <w:rsid w:val="0046267B"/>
    <w:rsid w:val="00465DFA"/>
    <w:rsid w:val="004664C5"/>
    <w:rsid w:val="0047639E"/>
    <w:rsid w:val="00480358"/>
    <w:rsid w:val="00484326"/>
    <w:rsid w:val="00485587"/>
    <w:rsid w:val="00491889"/>
    <w:rsid w:val="00492F3A"/>
    <w:rsid w:val="004934FB"/>
    <w:rsid w:val="00494DE2"/>
    <w:rsid w:val="004B1831"/>
    <w:rsid w:val="004B20A1"/>
    <w:rsid w:val="004C0660"/>
    <w:rsid w:val="004C542B"/>
    <w:rsid w:val="004C69BC"/>
    <w:rsid w:val="004D0E69"/>
    <w:rsid w:val="00504600"/>
    <w:rsid w:val="00510224"/>
    <w:rsid w:val="00510229"/>
    <w:rsid w:val="005206B5"/>
    <w:rsid w:val="00522AC4"/>
    <w:rsid w:val="00523CA1"/>
    <w:rsid w:val="005711BD"/>
    <w:rsid w:val="00575ED0"/>
    <w:rsid w:val="00584DF6"/>
    <w:rsid w:val="005859B6"/>
    <w:rsid w:val="00586DE6"/>
    <w:rsid w:val="00597BFE"/>
    <w:rsid w:val="005A533C"/>
    <w:rsid w:val="005B18F6"/>
    <w:rsid w:val="005C3A9A"/>
    <w:rsid w:val="005D639E"/>
    <w:rsid w:val="005E63ED"/>
    <w:rsid w:val="005F7047"/>
    <w:rsid w:val="006027ED"/>
    <w:rsid w:val="006047CD"/>
    <w:rsid w:val="00604ABA"/>
    <w:rsid w:val="00631F1A"/>
    <w:rsid w:val="00647BCC"/>
    <w:rsid w:val="00662A96"/>
    <w:rsid w:val="006718D7"/>
    <w:rsid w:val="00684A6B"/>
    <w:rsid w:val="00694640"/>
    <w:rsid w:val="006A24D0"/>
    <w:rsid w:val="006A4BA7"/>
    <w:rsid w:val="006B54A3"/>
    <w:rsid w:val="006C3DBB"/>
    <w:rsid w:val="006C703D"/>
    <w:rsid w:val="006D3CE7"/>
    <w:rsid w:val="006E7CF0"/>
    <w:rsid w:val="006F0F8E"/>
    <w:rsid w:val="006F7E78"/>
    <w:rsid w:val="007035F4"/>
    <w:rsid w:val="00705BB4"/>
    <w:rsid w:val="0071048F"/>
    <w:rsid w:val="00712510"/>
    <w:rsid w:val="007163F2"/>
    <w:rsid w:val="00717FCD"/>
    <w:rsid w:val="007214F6"/>
    <w:rsid w:val="00721E98"/>
    <w:rsid w:val="00725D52"/>
    <w:rsid w:val="007274E2"/>
    <w:rsid w:val="00732672"/>
    <w:rsid w:val="00740BD2"/>
    <w:rsid w:val="00752197"/>
    <w:rsid w:val="00756D67"/>
    <w:rsid w:val="0076200F"/>
    <w:rsid w:val="00766DA7"/>
    <w:rsid w:val="00786BBB"/>
    <w:rsid w:val="007A48E8"/>
    <w:rsid w:val="007C4AA9"/>
    <w:rsid w:val="007D6C98"/>
    <w:rsid w:val="007E0D76"/>
    <w:rsid w:val="007E17B2"/>
    <w:rsid w:val="007E1C4C"/>
    <w:rsid w:val="007E50EC"/>
    <w:rsid w:val="008044AC"/>
    <w:rsid w:val="00805EFA"/>
    <w:rsid w:val="00813D9D"/>
    <w:rsid w:val="008141F8"/>
    <w:rsid w:val="008158D7"/>
    <w:rsid w:val="00815E4A"/>
    <w:rsid w:val="008175E6"/>
    <w:rsid w:val="00831879"/>
    <w:rsid w:val="00832BB3"/>
    <w:rsid w:val="00833DA6"/>
    <w:rsid w:val="00846CE9"/>
    <w:rsid w:val="00854B12"/>
    <w:rsid w:val="00861DBD"/>
    <w:rsid w:val="00863852"/>
    <w:rsid w:val="00864A70"/>
    <w:rsid w:val="00883695"/>
    <w:rsid w:val="008A0A49"/>
    <w:rsid w:val="008A71B4"/>
    <w:rsid w:val="008B501D"/>
    <w:rsid w:val="008D1D32"/>
    <w:rsid w:val="008D2818"/>
    <w:rsid w:val="008D70D4"/>
    <w:rsid w:val="008E1A09"/>
    <w:rsid w:val="009006A8"/>
    <w:rsid w:val="0090169E"/>
    <w:rsid w:val="009025A0"/>
    <w:rsid w:val="009067EA"/>
    <w:rsid w:val="00921394"/>
    <w:rsid w:val="00944E53"/>
    <w:rsid w:val="00952E5C"/>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A02835"/>
    <w:rsid w:val="00A13FD1"/>
    <w:rsid w:val="00A20C12"/>
    <w:rsid w:val="00A23F87"/>
    <w:rsid w:val="00A30F1A"/>
    <w:rsid w:val="00A33EBF"/>
    <w:rsid w:val="00A3665E"/>
    <w:rsid w:val="00A4675C"/>
    <w:rsid w:val="00A57EDC"/>
    <w:rsid w:val="00A67356"/>
    <w:rsid w:val="00A67C00"/>
    <w:rsid w:val="00A717AA"/>
    <w:rsid w:val="00A761F0"/>
    <w:rsid w:val="00A77799"/>
    <w:rsid w:val="00A80ACD"/>
    <w:rsid w:val="00A84829"/>
    <w:rsid w:val="00A92358"/>
    <w:rsid w:val="00A95184"/>
    <w:rsid w:val="00A95DD1"/>
    <w:rsid w:val="00AA4373"/>
    <w:rsid w:val="00AB43CE"/>
    <w:rsid w:val="00AC1528"/>
    <w:rsid w:val="00AC4755"/>
    <w:rsid w:val="00AD011E"/>
    <w:rsid w:val="00AD0BF2"/>
    <w:rsid w:val="00AE328D"/>
    <w:rsid w:val="00AF3371"/>
    <w:rsid w:val="00B022FD"/>
    <w:rsid w:val="00B05F1D"/>
    <w:rsid w:val="00B159D6"/>
    <w:rsid w:val="00B24E1F"/>
    <w:rsid w:val="00B272AC"/>
    <w:rsid w:val="00B27EF0"/>
    <w:rsid w:val="00B3535B"/>
    <w:rsid w:val="00B36D9D"/>
    <w:rsid w:val="00B47C02"/>
    <w:rsid w:val="00B52B1C"/>
    <w:rsid w:val="00B640CA"/>
    <w:rsid w:val="00B7405D"/>
    <w:rsid w:val="00B76C69"/>
    <w:rsid w:val="00B77C61"/>
    <w:rsid w:val="00B83745"/>
    <w:rsid w:val="00B853C8"/>
    <w:rsid w:val="00B85525"/>
    <w:rsid w:val="00B86180"/>
    <w:rsid w:val="00B86369"/>
    <w:rsid w:val="00B912C2"/>
    <w:rsid w:val="00B95EFC"/>
    <w:rsid w:val="00BA0AC6"/>
    <w:rsid w:val="00BC23AA"/>
    <w:rsid w:val="00BC6046"/>
    <w:rsid w:val="00BD11C0"/>
    <w:rsid w:val="00BD3B9D"/>
    <w:rsid w:val="00BD63A4"/>
    <w:rsid w:val="00BE3363"/>
    <w:rsid w:val="00BE73F2"/>
    <w:rsid w:val="00C038FD"/>
    <w:rsid w:val="00C23CC3"/>
    <w:rsid w:val="00C30EE8"/>
    <w:rsid w:val="00C33D8E"/>
    <w:rsid w:val="00C37BDC"/>
    <w:rsid w:val="00C37CFF"/>
    <w:rsid w:val="00C43C3C"/>
    <w:rsid w:val="00C701B4"/>
    <w:rsid w:val="00C733BD"/>
    <w:rsid w:val="00C74850"/>
    <w:rsid w:val="00C8042E"/>
    <w:rsid w:val="00CA2F80"/>
    <w:rsid w:val="00CA5398"/>
    <w:rsid w:val="00CA5B6F"/>
    <w:rsid w:val="00CC44B2"/>
    <w:rsid w:val="00CC45C3"/>
    <w:rsid w:val="00CD07AD"/>
    <w:rsid w:val="00CE207E"/>
    <w:rsid w:val="00CE3C40"/>
    <w:rsid w:val="00CF42ED"/>
    <w:rsid w:val="00D101C4"/>
    <w:rsid w:val="00D131A9"/>
    <w:rsid w:val="00D1417F"/>
    <w:rsid w:val="00D1442E"/>
    <w:rsid w:val="00D1515C"/>
    <w:rsid w:val="00D275AD"/>
    <w:rsid w:val="00D456AF"/>
    <w:rsid w:val="00D5741C"/>
    <w:rsid w:val="00D60434"/>
    <w:rsid w:val="00D62A71"/>
    <w:rsid w:val="00D62DE2"/>
    <w:rsid w:val="00D658A9"/>
    <w:rsid w:val="00D80DCC"/>
    <w:rsid w:val="00D84614"/>
    <w:rsid w:val="00D87613"/>
    <w:rsid w:val="00D949DA"/>
    <w:rsid w:val="00D974A3"/>
    <w:rsid w:val="00DC0CF2"/>
    <w:rsid w:val="00DC0EC0"/>
    <w:rsid w:val="00DC7917"/>
    <w:rsid w:val="00DD2F41"/>
    <w:rsid w:val="00DD54A4"/>
    <w:rsid w:val="00DD6316"/>
    <w:rsid w:val="00DE3688"/>
    <w:rsid w:val="00DF2EC2"/>
    <w:rsid w:val="00E1672F"/>
    <w:rsid w:val="00E17B77"/>
    <w:rsid w:val="00E2178D"/>
    <w:rsid w:val="00E267BD"/>
    <w:rsid w:val="00E46E18"/>
    <w:rsid w:val="00E53CBF"/>
    <w:rsid w:val="00E54EEC"/>
    <w:rsid w:val="00E56703"/>
    <w:rsid w:val="00E62310"/>
    <w:rsid w:val="00E6606E"/>
    <w:rsid w:val="00E74001"/>
    <w:rsid w:val="00E823E9"/>
    <w:rsid w:val="00E83722"/>
    <w:rsid w:val="00E87351"/>
    <w:rsid w:val="00E92BE6"/>
    <w:rsid w:val="00E97982"/>
    <w:rsid w:val="00EA398D"/>
    <w:rsid w:val="00EA61CA"/>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4731B"/>
    <w:rsid w:val="00F562AD"/>
    <w:rsid w:val="00F625C1"/>
    <w:rsid w:val="00F642CD"/>
    <w:rsid w:val="00F64C97"/>
    <w:rsid w:val="00F67089"/>
    <w:rsid w:val="00F90205"/>
    <w:rsid w:val="00F914A0"/>
    <w:rsid w:val="00F96F61"/>
    <w:rsid w:val="00FA2AA9"/>
    <w:rsid w:val="00FB1110"/>
    <w:rsid w:val="00FC2F86"/>
    <w:rsid w:val="00FF643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21394"/>
    <w:pPr>
      <w:widowControl w:val="0"/>
      <w:spacing w:before="100" w:after="100"/>
    </w:pPr>
    <w:rPr>
      <w:snapToGrid w:val="0"/>
      <w:sz w:val="24"/>
      <w:lang w:val="fr-FR" w:eastAsia="en-US"/>
    </w:rPr>
  </w:style>
  <w:style w:type="paragraph" w:styleId="1">
    <w:name w:val="heading 1"/>
    <w:basedOn w:val="a"/>
    <w:next w:val="a"/>
    <w:link w:val="10"/>
    <w:autoRedefine/>
    <w:qFormat/>
    <w:rsid w:val="002B0469"/>
    <w:pPr>
      <w:keepNext/>
      <w:widowControl/>
      <w:numPr>
        <w:numId w:val="43"/>
      </w:numPr>
      <w:spacing w:before="480" w:after="240"/>
      <w:outlineLvl w:val="0"/>
    </w:pPr>
    <w:rPr>
      <w:b/>
      <w:bCs/>
      <w:caps/>
      <w:sz w:val="30"/>
      <w:szCs w:val="22"/>
      <w:lang/>
    </w:rPr>
  </w:style>
  <w:style w:type="paragraph" w:styleId="2">
    <w:name w:val="heading 2"/>
    <w:basedOn w:val="a"/>
    <w:next w:val="a"/>
    <w:link w:val="20"/>
    <w:autoRedefine/>
    <w:qFormat/>
    <w:rsid w:val="002B0469"/>
    <w:pPr>
      <w:widowControl/>
      <w:numPr>
        <w:ilvl w:val="1"/>
        <w:numId w:val="43"/>
      </w:numPr>
      <w:spacing w:before="240" w:after="120"/>
      <w:jc w:val="both"/>
      <w:outlineLvl w:val="1"/>
    </w:pPr>
    <w:rPr>
      <w:rFonts w:ascii="Times New Roman Bold" w:hAnsi="Times New Roman Bold"/>
      <w:b/>
      <w:sz w:val="22"/>
      <w:szCs w:val="22"/>
      <w:lang/>
    </w:rPr>
  </w:style>
  <w:style w:type="paragraph" w:styleId="3">
    <w:name w:val="heading 3"/>
    <w:basedOn w:val="a"/>
    <w:next w:val="a"/>
    <w:link w:val="30"/>
    <w:qFormat/>
    <w:rsid w:val="002B0469"/>
    <w:pPr>
      <w:widowControl/>
      <w:numPr>
        <w:ilvl w:val="2"/>
        <w:numId w:val="43"/>
      </w:numPr>
      <w:spacing w:before="240" w:after="120"/>
      <w:jc w:val="both"/>
      <w:outlineLvl w:val="2"/>
    </w:pPr>
    <w:rPr>
      <w:snapToGrid/>
      <w:sz w:val="22"/>
      <w:szCs w:val="22"/>
      <w:lang/>
    </w:rPr>
  </w:style>
  <w:style w:type="paragraph" w:styleId="4">
    <w:name w:val="heading 4"/>
    <w:basedOn w:val="a"/>
    <w:next w:val="a"/>
    <w:link w:val="40"/>
    <w:autoRedefine/>
    <w:qFormat/>
    <w:rsid w:val="002B0469"/>
    <w:pPr>
      <w:widowControl/>
      <w:numPr>
        <w:ilvl w:val="3"/>
        <w:numId w:val="43"/>
      </w:numPr>
      <w:spacing w:before="120" w:after="120"/>
      <w:jc w:val="both"/>
      <w:outlineLvl w:val="3"/>
    </w:pPr>
    <w:rPr>
      <w:sz w:val="22"/>
      <w:szCs w:val="22"/>
      <w:lang/>
    </w:rPr>
  </w:style>
  <w:style w:type="paragraph" w:styleId="5">
    <w:name w:val="heading 5"/>
    <w:basedOn w:val="a"/>
    <w:next w:val="a"/>
    <w:link w:val="50"/>
    <w:qFormat/>
    <w:rsid w:val="002B0469"/>
    <w:pPr>
      <w:widowControl/>
      <w:numPr>
        <w:ilvl w:val="4"/>
        <w:numId w:val="43"/>
      </w:numPr>
      <w:spacing w:before="240" w:after="120"/>
      <w:jc w:val="both"/>
      <w:outlineLvl w:val="4"/>
    </w:pPr>
    <w:rPr>
      <w:sz w:val="22"/>
      <w:szCs w:val="22"/>
      <w:lang/>
    </w:rPr>
  </w:style>
  <w:style w:type="paragraph" w:styleId="6">
    <w:name w:val="heading 6"/>
    <w:basedOn w:val="a"/>
    <w:next w:val="a"/>
    <w:link w:val="60"/>
    <w:qFormat/>
    <w:rsid w:val="002B0469"/>
    <w:pPr>
      <w:widowControl/>
      <w:numPr>
        <w:ilvl w:val="5"/>
        <w:numId w:val="43"/>
      </w:numPr>
      <w:spacing w:before="240" w:after="60"/>
      <w:outlineLvl w:val="5"/>
    </w:pPr>
    <w:rPr>
      <w:rFonts w:ascii="Calibri" w:hAnsi="Calibri"/>
      <w:b/>
      <w:bCs/>
      <w:sz w:val="22"/>
      <w:szCs w:val="22"/>
      <w:lang/>
    </w:rPr>
  </w:style>
  <w:style w:type="paragraph" w:styleId="7">
    <w:name w:val="heading 7"/>
    <w:basedOn w:val="a"/>
    <w:next w:val="a"/>
    <w:link w:val="70"/>
    <w:qFormat/>
    <w:rsid w:val="002B0469"/>
    <w:pPr>
      <w:keepNext/>
      <w:widowControl/>
      <w:numPr>
        <w:ilvl w:val="6"/>
        <w:numId w:val="43"/>
      </w:numPr>
      <w:spacing w:before="0" w:after="120"/>
      <w:jc w:val="center"/>
      <w:outlineLvl w:val="6"/>
    </w:pPr>
    <w:rPr>
      <w:rFonts w:ascii="Arial" w:hAnsi="Arial"/>
      <w:b/>
      <w:color w:val="008000"/>
      <w:sz w:val="32"/>
      <w:lang/>
    </w:rPr>
  </w:style>
  <w:style w:type="paragraph" w:styleId="8">
    <w:name w:val="heading 8"/>
    <w:basedOn w:val="a"/>
    <w:next w:val="a"/>
    <w:link w:val="80"/>
    <w:qFormat/>
    <w:rsid w:val="002B0469"/>
    <w:pPr>
      <w:keepNext/>
      <w:widowControl/>
      <w:numPr>
        <w:ilvl w:val="7"/>
        <w:numId w:val="43"/>
      </w:numPr>
      <w:spacing w:before="0" w:after="120"/>
      <w:jc w:val="both"/>
      <w:outlineLvl w:val="7"/>
    </w:pPr>
    <w:rPr>
      <w:rFonts w:ascii="Arial" w:hAnsi="Arial"/>
      <w:b/>
      <w:sz w:val="22"/>
      <w:lang/>
    </w:rPr>
  </w:style>
  <w:style w:type="paragraph" w:styleId="9">
    <w:name w:val="heading 9"/>
    <w:basedOn w:val="a"/>
    <w:next w:val="a"/>
    <w:link w:val="90"/>
    <w:qFormat/>
    <w:rsid w:val="002B0469"/>
    <w:pPr>
      <w:widowControl/>
      <w:numPr>
        <w:ilvl w:val="8"/>
        <w:numId w:val="43"/>
      </w:numPr>
      <w:spacing w:before="240" w:after="60"/>
      <w:outlineLvl w:val="8"/>
    </w:pPr>
    <w:rPr>
      <w:rFonts w:ascii="Cambria" w:hAnsi="Cambria"/>
      <w:sz w:val="22"/>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initionTerm">
    <w:name w:val="Definition Term"/>
    <w:basedOn w:val="a"/>
    <w:next w:val="DefinitionList"/>
    <w:rsid w:val="006F0F8E"/>
    <w:pPr>
      <w:spacing w:before="0" w:after="0"/>
    </w:pPr>
  </w:style>
  <w:style w:type="paragraph" w:customStyle="1" w:styleId="DefinitionList">
    <w:name w:val="Definition List"/>
    <w:basedOn w:val="a"/>
    <w:next w:val="DefinitionTerm"/>
    <w:rsid w:val="006F0F8E"/>
    <w:pPr>
      <w:spacing w:before="0" w:after="0"/>
      <w:ind w:left="360"/>
    </w:pPr>
  </w:style>
  <w:style w:type="character" w:customStyle="1" w:styleId="Definition">
    <w:name w:val="Definition"/>
    <w:rsid w:val="006F0F8E"/>
    <w:rPr>
      <w:i/>
    </w:rPr>
  </w:style>
  <w:style w:type="paragraph" w:customStyle="1" w:styleId="H1">
    <w:name w:val="H1"/>
    <w:basedOn w:val="a"/>
    <w:next w:val="a"/>
    <w:rsid w:val="006F0F8E"/>
    <w:pPr>
      <w:keepNext/>
      <w:outlineLvl w:val="1"/>
    </w:pPr>
    <w:rPr>
      <w:b/>
      <w:kern w:val="36"/>
      <w:sz w:val="48"/>
    </w:rPr>
  </w:style>
  <w:style w:type="paragraph" w:customStyle="1" w:styleId="H2">
    <w:name w:val="H2"/>
    <w:basedOn w:val="a"/>
    <w:next w:val="a"/>
    <w:rsid w:val="006F0F8E"/>
    <w:pPr>
      <w:keepNext/>
      <w:outlineLvl w:val="2"/>
    </w:pPr>
    <w:rPr>
      <w:b/>
      <w:sz w:val="36"/>
    </w:rPr>
  </w:style>
  <w:style w:type="paragraph" w:customStyle="1" w:styleId="H3">
    <w:name w:val="H3"/>
    <w:basedOn w:val="a"/>
    <w:next w:val="a"/>
    <w:rsid w:val="006F0F8E"/>
    <w:pPr>
      <w:keepNext/>
      <w:outlineLvl w:val="3"/>
    </w:pPr>
    <w:rPr>
      <w:b/>
      <w:sz w:val="28"/>
    </w:rPr>
  </w:style>
  <w:style w:type="paragraph" w:customStyle="1" w:styleId="H4">
    <w:name w:val="H4"/>
    <w:basedOn w:val="a"/>
    <w:next w:val="a"/>
    <w:rsid w:val="006F0F8E"/>
    <w:pPr>
      <w:keepNext/>
      <w:outlineLvl w:val="4"/>
    </w:pPr>
    <w:rPr>
      <w:b/>
    </w:rPr>
  </w:style>
  <w:style w:type="paragraph" w:customStyle="1" w:styleId="H5">
    <w:name w:val="H5"/>
    <w:basedOn w:val="a"/>
    <w:next w:val="a"/>
    <w:rsid w:val="006F0F8E"/>
    <w:pPr>
      <w:keepNext/>
      <w:outlineLvl w:val="5"/>
    </w:pPr>
    <w:rPr>
      <w:b/>
      <w:sz w:val="20"/>
    </w:rPr>
  </w:style>
  <w:style w:type="paragraph" w:customStyle="1" w:styleId="H6">
    <w:name w:val="H6"/>
    <w:basedOn w:val="a"/>
    <w:next w:val="a"/>
    <w:rsid w:val="006F0F8E"/>
    <w:pPr>
      <w:keepNext/>
      <w:outlineLvl w:val="6"/>
    </w:pPr>
    <w:rPr>
      <w:b/>
      <w:sz w:val="16"/>
    </w:rPr>
  </w:style>
  <w:style w:type="paragraph" w:customStyle="1" w:styleId="Address">
    <w:name w:val="Address"/>
    <w:basedOn w:val="a"/>
    <w:next w:val="a"/>
    <w:rsid w:val="006F0F8E"/>
    <w:pPr>
      <w:spacing w:before="0" w:after="0"/>
    </w:pPr>
    <w:rPr>
      <w:i/>
    </w:rPr>
  </w:style>
  <w:style w:type="paragraph" w:customStyle="1" w:styleId="Blockquote">
    <w:name w:val="Blockquote"/>
    <w:basedOn w:val="a"/>
    <w:rsid w:val="006F0F8E"/>
    <w:pPr>
      <w:ind w:left="360" w:right="360"/>
    </w:pPr>
  </w:style>
  <w:style w:type="character" w:customStyle="1" w:styleId="CITE">
    <w:name w:val="CITE"/>
    <w:rsid w:val="006F0F8E"/>
    <w:rPr>
      <w:i/>
    </w:rPr>
  </w:style>
  <w:style w:type="character" w:customStyle="1" w:styleId="CODE">
    <w:name w:val="CODE"/>
    <w:rsid w:val="006F0F8E"/>
    <w:rPr>
      <w:rFonts w:ascii="Courier New" w:hAnsi="Courier New"/>
      <w:sz w:val="20"/>
    </w:rPr>
  </w:style>
  <w:style w:type="character" w:styleId="a3">
    <w:name w:val="Emphasis"/>
    <w:qFormat/>
    <w:rsid w:val="006F0F8E"/>
    <w:rPr>
      <w:i/>
    </w:rPr>
  </w:style>
  <w:style w:type="character" w:styleId="a4">
    <w:name w:val="Hyperlink"/>
    <w:rsid w:val="006F0F8E"/>
    <w:rPr>
      <w:color w:val="0000FF"/>
      <w:u w:val="single"/>
    </w:rPr>
  </w:style>
  <w:style w:type="character" w:styleId="a5">
    <w:name w:val="FollowedHyperlink"/>
    <w:rsid w:val="006F0F8E"/>
    <w:rPr>
      <w:color w:val="800080"/>
      <w:u w:val="single"/>
    </w:rPr>
  </w:style>
  <w:style w:type="character" w:customStyle="1" w:styleId="Keyboard">
    <w:name w:val="Keyboard"/>
    <w:rsid w:val="006F0F8E"/>
    <w:rPr>
      <w:rFonts w:ascii="Courier New" w:hAnsi="Courier New"/>
      <w:b/>
      <w:sz w:val="20"/>
    </w:rPr>
  </w:style>
  <w:style w:type="paragraph" w:customStyle="1" w:styleId="Preformatted">
    <w:name w:val="Preformatted"/>
    <w:basedOn w:val="a"/>
    <w:rsid w:val="006F0F8E"/>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
    <w:name w:val="HTML Bottom of Form"/>
    <w:next w:val="a"/>
    <w:hidden/>
    <w:rsid w:val="006F0F8E"/>
    <w:pPr>
      <w:widowControl w:val="0"/>
      <w:pBdr>
        <w:top w:val="double" w:sz="2" w:space="0" w:color="000000"/>
      </w:pBdr>
      <w:jc w:val="center"/>
    </w:pPr>
    <w:rPr>
      <w:rFonts w:ascii="Arial" w:hAnsi="Arial"/>
      <w:snapToGrid w:val="0"/>
      <w:vanish/>
      <w:sz w:val="16"/>
      <w:lang w:val="en-US" w:eastAsia="en-US"/>
    </w:rPr>
  </w:style>
  <w:style w:type="paragraph" w:styleId="z-0">
    <w:name w:val="HTML Top of Form"/>
    <w:next w:val="a"/>
    <w:hidden/>
    <w:rsid w:val="006F0F8E"/>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6F0F8E"/>
    <w:rPr>
      <w:rFonts w:ascii="Courier New" w:hAnsi="Courier New"/>
    </w:rPr>
  </w:style>
  <w:style w:type="character" w:styleId="a6">
    <w:name w:val="Strong"/>
    <w:qFormat/>
    <w:rsid w:val="006F0F8E"/>
    <w:rPr>
      <w:b/>
    </w:rPr>
  </w:style>
  <w:style w:type="character" w:customStyle="1" w:styleId="Typewriter">
    <w:name w:val="Typewriter"/>
    <w:rsid w:val="006F0F8E"/>
    <w:rPr>
      <w:rFonts w:ascii="Courier New" w:hAnsi="Courier New"/>
      <w:sz w:val="20"/>
    </w:rPr>
  </w:style>
  <w:style w:type="character" w:customStyle="1" w:styleId="Variable">
    <w:name w:val="Variable"/>
    <w:rsid w:val="006F0F8E"/>
    <w:rPr>
      <w:i/>
    </w:rPr>
  </w:style>
  <w:style w:type="character" w:customStyle="1" w:styleId="HTMLMarkup">
    <w:name w:val="HTML Markup"/>
    <w:rsid w:val="006F0F8E"/>
    <w:rPr>
      <w:vanish/>
      <w:color w:val="FF0000"/>
    </w:rPr>
  </w:style>
  <w:style w:type="character" w:customStyle="1" w:styleId="Comment">
    <w:name w:val="Comment"/>
    <w:rsid w:val="006F0F8E"/>
    <w:rPr>
      <w:vanish/>
    </w:rPr>
  </w:style>
  <w:style w:type="paragraph" w:styleId="a7">
    <w:name w:val="Document Map"/>
    <w:basedOn w:val="a"/>
    <w:semiHidden/>
    <w:rsid w:val="006F0F8E"/>
    <w:pPr>
      <w:shd w:val="clear" w:color="auto" w:fill="000080"/>
    </w:pPr>
  </w:style>
  <w:style w:type="paragraph" w:styleId="a8">
    <w:name w:val="header"/>
    <w:basedOn w:val="a"/>
    <w:rsid w:val="007C4AA9"/>
    <w:pPr>
      <w:tabs>
        <w:tab w:val="center" w:pos="4536"/>
        <w:tab w:val="right" w:pos="9072"/>
      </w:tabs>
    </w:pPr>
  </w:style>
  <w:style w:type="paragraph" w:styleId="a9">
    <w:name w:val="footer"/>
    <w:basedOn w:val="a"/>
    <w:rsid w:val="007C4AA9"/>
    <w:pPr>
      <w:tabs>
        <w:tab w:val="center" w:pos="4536"/>
        <w:tab w:val="right" w:pos="9072"/>
      </w:tabs>
    </w:pPr>
  </w:style>
  <w:style w:type="paragraph" w:customStyle="1" w:styleId="PRAGHeading2">
    <w:name w:val="PRAG Heading 2"/>
    <w:basedOn w:val="a"/>
    <w:rsid w:val="00805EFA"/>
    <w:pPr>
      <w:numPr>
        <w:numId w:val="31"/>
      </w:numPr>
    </w:pPr>
  </w:style>
  <w:style w:type="character" w:styleId="aa">
    <w:name w:val="page number"/>
    <w:basedOn w:val="a0"/>
    <w:rsid w:val="00805EFA"/>
  </w:style>
  <w:style w:type="character" w:styleId="ab">
    <w:name w:val="annotation reference"/>
    <w:uiPriority w:val="99"/>
    <w:rsid w:val="00BD3B9D"/>
    <w:rPr>
      <w:sz w:val="16"/>
      <w:szCs w:val="16"/>
    </w:rPr>
  </w:style>
  <w:style w:type="paragraph" w:styleId="ac">
    <w:name w:val="annotation text"/>
    <w:basedOn w:val="a"/>
    <w:semiHidden/>
    <w:rsid w:val="00BD3B9D"/>
    <w:rPr>
      <w:sz w:val="20"/>
    </w:rPr>
  </w:style>
  <w:style w:type="paragraph" w:styleId="ad">
    <w:name w:val="annotation subject"/>
    <w:basedOn w:val="ac"/>
    <w:next w:val="ac"/>
    <w:semiHidden/>
    <w:rsid w:val="00BD3B9D"/>
    <w:rPr>
      <w:b/>
      <w:bCs/>
    </w:rPr>
  </w:style>
  <w:style w:type="paragraph" w:styleId="ae">
    <w:name w:val="Balloon Text"/>
    <w:basedOn w:val="a"/>
    <w:semiHidden/>
    <w:rsid w:val="00BD3B9D"/>
    <w:rPr>
      <w:rFonts w:ascii="Tahoma" w:hAnsi="Tahoma" w:cs="Tahoma"/>
      <w:sz w:val="16"/>
      <w:szCs w:val="16"/>
    </w:rPr>
  </w:style>
  <w:style w:type="paragraph" w:styleId="af">
    <w:name w:val="footnote text"/>
    <w:basedOn w:val="a"/>
    <w:link w:val="af0"/>
    <w:autoRedefine/>
    <w:rsid w:val="00921394"/>
    <w:pPr>
      <w:spacing w:before="0" w:after="0"/>
    </w:pPr>
    <w:rPr>
      <w:sz w:val="20"/>
    </w:rPr>
  </w:style>
  <w:style w:type="character" w:customStyle="1" w:styleId="af0">
    <w:name w:val="Текст под линия Знак"/>
    <w:link w:val="af"/>
    <w:rsid w:val="00921394"/>
    <w:rPr>
      <w:snapToGrid w:val="0"/>
      <w:lang w:val="fr-FR" w:eastAsia="en-US"/>
    </w:rPr>
  </w:style>
  <w:style w:type="character" w:styleId="af1">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val="en-GB" w:eastAsia="fr-FR"/>
    </w:rPr>
  </w:style>
  <w:style w:type="character" w:customStyle="1" w:styleId="10">
    <w:name w:val="Заглавие 1 Знак"/>
    <w:link w:val="1"/>
    <w:rsid w:val="002B0469"/>
    <w:rPr>
      <w:b/>
      <w:bCs/>
      <w:caps/>
      <w:snapToGrid w:val="0"/>
      <w:sz w:val="30"/>
      <w:szCs w:val="22"/>
      <w:lang w:eastAsia="en-US"/>
    </w:rPr>
  </w:style>
  <w:style w:type="character" w:customStyle="1" w:styleId="20">
    <w:name w:val="Заглавие 2 Знак"/>
    <w:link w:val="2"/>
    <w:rsid w:val="002B0469"/>
    <w:rPr>
      <w:rFonts w:ascii="Times New Roman Bold" w:hAnsi="Times New Roman Bold"/>
      <w:b/>
      <w:snapToGrid w:val="0"/>
      <w:sz w:val="22"/>
      <w:szCs w:val="22"/>
      <w:lang w:eastAsia="en-US"/>
    </w:rPr>
  </w:style>
  <w:style w:type="character" w:customStyle="1" w:styleId="30">
    <w:name w:val="Заглавие 3 Знак"/>
    <w:link w:val="3"/>
    <w:rsid w:val="002B0469"/>
    <w:rPr>
      <w:sz w:val="22"/>
      <w:szCs w:val="22"/>
      <w:lang w:eastAsia="en-US"/>
    </w:rPr>
  </w:style>
  <w:style w:type="character" w:customStyle="1" w:styleId="40">
    <w:name w:val="Заглавие 4 Знак"/>
    <w:link w:val="4"/>
    <w:rsid w:val="002B0469"/>
    <w:rPr>
      <w:snapToGrid w:val="0"/>
      <w:sz w:val="22"/>
      <w:szCs w:val="22"/>
      <w:lang w:eastAsia="en-US"/>
    </w:rPr>
  </w:style>
  <w:style w:type="character" w:customStyle="1" w:styleId="50">
    <w:name w:val="Заглавие 5 Знак"/>
    <w:link w:val="5"/>
    <w:rsid w:val="002B0469"/>
    <w:rPr>
      <w:snapToGrid w:val="0"/>
      <w:sz w:val="22"/>
      <w:szCs w:val="22"/>
      <w:lang w:eastAsia="en-US"/>
    </w:rPr>
  </w:style>
  <w:style w:type="character" w:customStyle="1" w:styleId="60">
    <w:name w:val="Заглавие 6 Знак"/>
    <w:link w:val="6"/>
    <w:rsid w:val="002B0469"/>
    <w:rPr>
      <w:rFonts w:ascii="Calibri" w:hAnsi="Calibri"/>
      <w:b/>
      <w:bCs/>
      <w:snapToGrid w:val="0"/>
      <w:sz w:val="22"/>
      <w:szCs w:val="22"/>
      <w:lang w:eastAsia="en-US"/>
    </w:rPr>
  </w:style>
  <w:style w:type="character" w:customStyle="1" w:styleId="70">
    <w:name w:val="Заглавие 7 Знак"/>
    <w:link w:val="7"/>
    <w:rsid w:val="002B0469"/>
    <w:rPr>
      <w:rFonts w:ascii="Arial" w:hAnsi="Arial"/>
      <w:b/>
      <w:snapToGrid w:val="0"/>
      <w:color w:val="008000"/>
      <w:sz w:val="32"/>
      <w:lang w:eastAsia="en-US"/>
    </w:rPr>
  </w:style>
  <w:style w:type="character" w:customStyle="1" w:styleId="80">
    <w:name w:val="Заглавие 8 Знак"/>
    <w:link w:val="8"/>
    <w:rsid w:val="002B0469"/>
    <w:rPr>
      <w:rFonts w:ascii="Arial" w:hAnsi="Arial"/>
      <w:b/>
      <w:snapToGrid w:val="0"/>
      <w:sz w:val="22"/>
      <w:lang w:eastAsia="en-US"/>
    </w:rPr>
  </w:style>
  <w:style w:type="character" w:customStyle="1" w:styleId="90">
    <w:name w:val="Заглавие 9 Знак"/>
    <w:link w:val="9"/>
    <w:rsid w:val="002B0469"/>
    <w:rPr>
      <w:rFonts w:ascii="Cambria" w:hAnsi="Cambria"/>
      <w:snapToGrid w:val="0"/>
      <w:sz w:val="22"/>
      <w:szCs w:val="22"/>
      <w:lang w:eastAsia="en-US"/>
    </w:rPr>
  </w:style>
  <w:style w:type="character" w:customStyle="1" w:styleId="jlqj4b">
    <w:name w:val="jlqj4b"/>
    <w:basedOn w:val="a0"/>
    <w:rsid w:val="00575ED0"/>
  </w:style>
  <w:style w:type="character" w:customStyle="1" w:styleId="viiyi">
    <w:name w:val="viiyi"/>
    <w:basedOn w:val="a0"/>
    <w:rsid w:val="00E54EEC"/>
  </w:style>
</w:styles>
</file>

<file path=word/webSettings.xml><?xml version="1.0" encoding="utf-8"?>
<w:webSettings xmlns:r="http://schemas.openxmlformats.org/officeDocument/2006/relationships" xmlns:w="http://schemas.openxmlformats.org/wordprocessingml/2006/main">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1F40E-1303-4B13-B008-5A5EC6853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7</Pages>
  <Words>2178</Words>
  <Characters>12416</Characters>
  <Application>Microsoft Office Word</Application>
  <DocSecurity>0</DocSecurity>
  <Lines>103</Lines>
  <Paragraphs>29</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proc_notice_en</vt:lpstr>
      <vt:lpstr>proc_notice_en</vt:lpstr>
    </vt:vector>
  </TitlesOfParts>
  <Company>European Commission</Company>
  <LinksUpToDate>false</LinksUpToDate>
  <CharactersWithSpaces>14565</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sabatmu</dc:creator>
  <cp:keywords/>
  <cp:lastModifiedBy>Angelinka</cp:lastModifiedBy>
  <cp:revision>17</cp:revision>
  <cp:lastPrinted>2021-11-03T08:50:00Z</cp:lastPrinted>
  <dcterms:created xsi:type="dcterms:W3CDTF">2020-04-15T16:16:00Z</dcterms:created>
  <dcterms:modified xsi:type="dcterms:W3CDTF">2021-11-03T08:50:00Z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